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74051C" w14:textId="07C3BD1A" w:rsidR="006932A4" w:rsidRDefault="006932A4" w:rsidP="006629CC">
      <w:pPr>
        <w:rPr>
          <w:rFonts w:ascii="Arial" w:hAnsi="Arial"/>
        </w:rPr>
      </w:pPr>
      <w:bookmarkStart w:id="0" w:name="_Hlk109200422"/>
      <w:bookmarkStart w:id="1" w:name="_Hlk17201346"/>
      <w:bookmarkEnd w:id="0"/>
      <w:proofErr w:type="spellStart"/>
      <w:r>
        <w:rPr>
          <w:rFonts w:ascii="Arial" w:hAnsi="Arial"/>
        </w:rPr>
        <w:t>Amstetten</w:t>
      </w:r>
      <w:proofErr w:type="spellEnd"/>
      <w:r>
        <w:rPr>
          <w:rFonts w:ascii="Arial" w:hAnsi="Arial"/>
        </w:rPr>
        <w:t xml:space="preserve">, </w:t>
      </w:r>
      <w:r w:rsidR="00BC5814">
        <w:rPr>
          <w:rFonts w:ascii="Arial" w:hAnsi="Arial"/>
        </w:rPr>
        <w:t>13.10.2023</w:t>
      </w:r>
    </w:p>
    <w:p w14:paraId="7D7B0003" w14:textId="77777777" w:rsidR="006629CC" w:rsidRPr="006629CC" w:rsidRDefault="006629CC" w:rsidP="006629CC">
      <w:pPr>
        <w:rPr>
          <w:rFonts w:ascii="Arial" w:hAnsi="Arial" w:cs="Arial"/>
        </w:rPr>
      </w:pPr>
    </w:p>
    <w:bookmarkEnd w:id="1"/>
    <w:p w14:paraId="6F47B650" w14:textId="1BA0F15B" w:rsidR="008A1E9D" w:rsidRPr="008A015E" w:rsidRDefault="00506039" w:rsidP="00BC5814">
      <w:pPr>
        <w:rPr>
          <w:rStyle w:val="cf01"/>
          <w:rFonts w:ascii="Arial" w:hAnsi="Arial"/>
          <w:b/>
          <w:sz w:val="32"/>
        </w:rPr>
      </w:pPr>
      <w:proofErr w:type="spellStart"/>
      <w:r>
        <w:rPr>
          <w:rStyle w:val="cf01"/>
          <w:rFonts w:ascii="Arial" w:hAnsi="Arial"/>
          <w:b/>
          <w:sz w:val="32"/>
        </w:rPr>
        <w:t>Glasgruppen</w:t>
      </w:r>
      <w:proofErr w:type="spellEnd"/>
      <w:r>
        <w:rPr>
          <w:rStyle w:val="cf01"/>
          <w:rFonts w:ascii="Arial" w:hAnsi="Arial"/>
          <w:b/>
          <w:sz w:val="32"/>
        </w:rPr>
        <w:t xml:space="preserve">/Martin G Anderson: el pionero en sostenibilidad dentro de la industria del vidrio invierte en la línea TPA de </w:t>
      </w:r>
      <w:proofErr w:type="spellStart"/>
      <w:r>
        <w:rPr>
          <w:rStyle w:val="cf01"/>
          <w:rFonts w:ascii="Arial" w:hAnsi="Arial"/>
          <w:b/>
          <w:sz w:val="32"/>
        </w:rPr>
        <w:t>LiSEC</w:t>
      </w:r>
      <w:proofErr w:type="spellEnd"/>
    </w:p>
    <w:p w14:paraId="0ACE6B66" w14:textId="77777777" w:rsidR="00932CAF" w:rsidRDefault="00932CAF" w:rsidP="00506039">
      <w:pPr>
        <w:jc w:val="both"/>
        <w:rPr>
          <w:rFonts w:ascii="Arial" w:hAnsi="Arial"/>
        </w:rPr>
      </w:pPr>
    </w:p>
    <w:p w14:paraId="4BCAD6A0" w14:textId="093D2C05" w:rsidR="00506039" w:rsidRDefault="00506039" w:rsidP="00506039">
      <w:pPr>
        <w:jc w:val="both"/>
        <w:rPr>
          <w:rFonts w:ascii="Arial" w:hAnsi="Arial"/>
        </w:rPr>
      </w:pPr>
      <w:r>
        <w:rPr>
          <w:rFonts w:ascii="Arial" w:hAnsi="Arial"/>
        </w:rPr>
        <w:t xml:space="preserve">La empresa sueca </w:t>
      </w:r>
      <w:proofErr w:type="spellStart"/>
      <w:r>
        <w:rPr>
          <w:rFonts w:ascii="Arial" w:hAnsi="Arial"/>
        </w:rPr>
        <w:t>Glasgruppen</w:t>
      </w:r>
      <w:proofErr w:type="spellEnd"/>
      <w:r>
        <w:rPr>
          <w:rFonts w:ascii="Arial" w:hAnsi="Arial"/>
        </w:rPr>
        <w:t xml:space="preserve"> echa la vista atrás a tres décadas de experiencia en la industria del vidrio. </w:t>
      </w:r>
      <w:proofErr w:type="spellStart"/>
      <w:r>
        <w:rPr>
          <w:rFonts w:ascii="Arial" w:hAnsi="Arial"/>
        </w:rPr>
        <w:t>Stina</w:t>
      </w:r>
      <w:proofErr w:type="spellEnd"/>
      <w:r>
        <w:rPr>
          <w:rFonts w:ascii="Arial" w:hAnsi="Arial"/>
        </w:rPr>
        <w:t xml:space="preserve"> </w:t>
      </w:r>
      <w:proofErr w:type="spellStart"/>
      <w:r>
        <w:rPr>
          <w:rFonts w:ascii="Arial" w:hAnsi="Arial"/>
        </w:rPr>
        <w:t>Wollenius</w:t>
      </w:r>
      <w:proofErr w:type="spellEnd"/>
      <w:r>
        <w:rPr>
          <w:rFonts w:ascii="Arial" w:hAnsi="Arial"/>
        </w:rPr>
        <w:t xml:space="preserve">, propietaria de tercera generación y única accionista de </w:t>
      </w:r>
      <w:proofErr w:type="spellStart"/>
      <w:r>
        <w:rPr>
          <w:rFonts w:ascii="Arial" w:hAnsi="Arial"/>
        </w:rPr>
        <w:t>Glasgruppen</w:t>
      </w:r>
      <w:proofErr w:type="spellEnd"/>
      <w:r>
        <w:rPr>
          <w:rFonts w:ascii="Arial" w:hAnsi="Arial"/>
        </w:rPr>
        <w:t xml:space="preserve">, considera que la receta del éxito, también para el futuro, consiste en no escatimar esfuerzos en la relación con los clientes y centrarse en la sostenibilidad de las actividades de la empresa. Debido a la duradera y fructífera colaboración estratégica con </w:t>
      </w:r>
      <w:proofErr w:type="spellStart"/>
      <w:r>
        <w:rPr>
          <w:rFonts w:ascii="Arial" w:hAnsi="Arial"/>
        </w:rPr>
        <w:t>LiSEC</w:t>
      </w:r>
      <w:proofErr w:type="spellEnd"/>
      <w:r>
        <w:rPr>
          <w:rFonts w:ascii="Arial" w:hAnsi="Arial"/>
        </w:rPr>
        <w:t xml:space="preserve">, </w:t>
      </w:r>
      <w:proofErr w:type="spellStart"/>
      <w:r>
        <w:rPr>
          <w:rFonts w:ascii="Arial" w:hAnsi="Arial"/>
        </w:rPr>
        <w:t>Glasgruppen</w:t>
      </w:r>
      <w:proofErr w:type="spellEnd"/>
      <w:r>
        <w:rPr>
          <w:rFonts w:ascii="Arial" w:hAnsi="Arial"/>
        </w:rPr>
        <w:t xml:space="preserve"> decidió invertir en una nueva línea TPA </w:t>
      </w:r>
      <w:proofErr w:type="spellStart"/>
      <w:r>
        <w:rPr>
          <w:rFonts w:ascii="Arial" w:hAnsi="Arial"/>
          <w:i/>
        </w:rPr>
        <w:t>made</w:t>
      </w:r>
      <w:proofErr w:type="spellEnd"/>
      <w:r>
        <w:rPr>
          <w:rFonts w:ascii="Arial" w:hAnsi="Arial"/>
          <w:i/>
        </w:rPr>
        <w:t xml:space="preserve"> in Austria</w:t>
      </w:r>
      <w:r>
        <w:rPr>
          <w:rFonts w:ascii="Arial" w:hAnsi="Arial"/>
        </w:rPr>
        <w:t>.</w:t>
      </w:r>
    </w:p>
    <w:p w14:paraId="39F3C310" w14:textId="77777777" w:rsidR="00527141" w:rsidRPr="00506039" w:rsidRDefault="00527141" w:rsidP="00506039">
      <w:pPr>
        <w:jc w:val="both"/>
        <w:rPr>
          <w:rFonts w:ascii="Arial" w:hAnsi="Arial"/>
        </w:rPr>
      </w:pPr>
    </w:p>
    <w:p w14:paraId="3F9892F0" w14:textId="77777777" w:rsidR="00506039" w:rsidRPr="00506039" w:rsidRDefault="00506039" w:rsidP="00506039">
      <w:pPr>
        <w:jc w:val="both"/>
        <w:rPr>
          <w:rFonts w:ascii="Arial" w:hAnsi="Arial"/>
          <w:b/>
          <w:bCs/>
        </w:rPr>
      </w:pPr>
      <w:r>
        <w:rPr>
          <w:rFonts w:ascii="Arial" w:hAnsi="Arial"/>
          <w:b/>
        </w:rPr>
        <w:t xml:space="preserve">Más sobre </w:t>
      </w:r>
      <w:proofErr w:type="spellStart"/>
      <w:r>
        <w:rPr>
          <w:rFonts w:ascii="Arial" w:hAnsi="Arial"/>
          <w:b/>
        </w:rPr>
        <w:t>Glasgruppen</w:t>
      </w:r>
      <w:proofErr w:type="spellEnd"/>
    </w:p>
    <w:p w14:paraId="5B49E0B8" w14:textId="459768BA" w:rsidR="00506039" w:rsidRDefault="00506039" w:rsidP="00506039">
      <w:pPr>
        <w:jc w:val="both"/>
        <w:rPr>
          <w:rFonts w:ascii="Arial" w:hAnsi="Arial"/>
        </w:rPr>
      </w:pPr>
      <w:proofErr w:type="spellStart"/>
      <w:r>
        <w:rPr>
          <w:rFonts w:ascii="Arial" w:hAnsi="Arial"/>
        </w:rPr>
        <w:t>Glasgruppen</w:t>
      </w:r>
      <w:proofErr w:type="spellEnd"/>
      <w:r>
        <w:rPr>
          <w:rFonts w:ascii="Arial" w:hAnsi="Arial"/>
        </w:rPr>
        <w:t xml:space="preserve"> es uno de los procesadores de vidrio líderes en Suecia. El grupo está formado por las empresas familiares Martin G Anderson en Örebro, </w:t>
      </w:r>
      <w:proofErr w:type="spellStart"/>
      <w:r>
        <w:rPr>
          <w:rFonts w:ascii="Arial" w:hAnsi="Arial"/>
        </w:rPr>
        <w:t>Klaes</w:t>
      </w:r>
      <w:proofErr w:type="spellEnd"/>
      <w:r>
        <w:rPr>
          <w:rFonts w:ascii="Arial" w:hAnsi="Arial"/>
        </w:rPr>
        <w:t xml:space="preserve"> Jansson en Estocolmo, y RB Glas &amp; Plast en Gotemburgo. La empresa cuenta con más de 120 empleados en total, de los cuales la mayoría está empleada en Örebro. En Martin G Anderson, se corta, templa y procesa el vidrio. La gama de productos está ampliamente diversificada e incluye vidrio aislante de bajo consumo energético, vidrio resistente al fuego, vidrio procesado y vidrio moldeado para diversos sectores de la construcción. Su producto más vendido es, sobre todo, el vidrio aislante. La planta de Örebro suministra los mayores productos de vidrio funcional de la empresa, con recubrimientos de bajo consumo energético, protección solar y otras características especiales. </w:t>
      </w:r>
      <w:proofErr w:type="spellStart"/>
      <w:r>
        <w:rPr>
          <w:rFonts w:ascii="Arial" w:hAnsi="Arial"/>
        </w:rPr>
        <w:t>Glasgruppen</w:t>
      </w:r>
      <w:proofErr w:type="spellEnd"/>
      <w:r>
        <w:rPr>
          <w:rFonts w:ascii="Arial" w:hAnsi="Arial"/>
        </w:rPr>
        <w:t xml:space="preserve"> genera un volumen de negocios anual de aproximadamente 25 millones de euros abasteciendo, principalmente, al norte de Europa. Disponen de una cartera de clientes muy completa que abarca desde vidrieros particulares hasta grandes empresas de construcción de fachadas. </w:t>
      </w:r>
    </w:p>
    <w:p w14:paraId="32BD57ED" w14:textId="77777777" w:rsidR="00342B7A" w:rsidRDefault="00342B7A" w:rsidP="00506039">
      <w:pPr>
        <w:jc w:val="both"/>
        <w:rPr>
          <w:rFonts w:ascii="Arial" w:hAnsi="Arial"/>
        </w:rPr>
      </w:pPr>
    </w:p>
    <w:p w14:paraId="3D98F609" w14:textId="77777777" w:rsidR="00342B7A" w:rsidRPr="00506039" w:rsidRDefault="00342B7A" w:rsidP="00342B7A">
      <w:pPr>
        <w:jc w:val="both"/>
        <w:rPr>
          <w:rFonts w:ascii="Arial" w:hAnsi="Arial"/>
          <w:b/>
          <w:bCs/>
        </w:rPr>
      </w:pPr>
      <w:r>
        <w:rPr>
          <w:rFonts w:ascii="Arial" w:hAnsi="Arial"/>
          <w:b/>
        </w:rPr>
        <w:t xml:space="preserve">El concepto de </w:t>
      </w:r>
      <w:proofErr w:type="spellStart"/>
      <w:r>
        <w:rPr>
          <w:rFonts w:ascii="Arial" w:hAnsi="Arial"/>
          <w:b/>
        </w:rPr>
        <w:t>Glasgruppen</w:t>
      </w:r>
      <w:proofErr w:type="spellEnd"/>
      <w:r>
        <w:rPr>
          <w:rFonts w:ascii="Arial" w:hAnsi="Arial"/>
          <w:b/>
        </w:rPr>
        <w:t xml:space="preserve"> para un mercado futuro más sostenible</w:t>
      </w:r>
    </w:p>
    <w:p w14:paraId="2F4D2534" w14:textId="2751B1C4" w:rsidR="00342B7A" w:rsidRPr="00506039" w:rsidRDefault="001756C1" w:rsidP="00506039">
      <w:pPr>
        <w:jc w:val="both"/>
        <w:rPr>
          <w:rFonts w:ascii="Arial" w:hAnsi="Arial"/>
        </w:rPr>
      </w:pPr>
      <w:r>
        <w:rPr>
          <w:rFonts w:ascii="Arial" w:hAnsi="Arial"/>
        </w:rPr>
        <w:t xml:space="preserve">La propietaria y directora ejecutiva de la empresa, </w:t>
      </w:r>
      <w:proofErr w:type="spellStart"/>
      <w:r>
        <w:rPr>
          <w:rFonts w:ascii="Arial" w:hAnsi="Arial"/>
        </w:rPr>
        <w:t>Stina</w:t>
      </w:r>
      <w:proofErr w:type="spellEnd"/>
      <w:r>
        <w:rPr>
          <w:rFonts w:ascii="Arial" w:hAnsi="Arial"/>
        </w:rPr>
        <w:t xml:space="preserve"> </w:t>
      </w:r>
      <w:proofErr w:type="spellStart"/>
      <w:r>
        <w:rPr>
          <w:rFonts w:ascii="Arial" w:hAnsi="Arial"/>
        </w:rPr>
        <w:t>Wollenius</w:t>
      </w:r>
      <w:proofErr w:type="spellEnd"/>
      <w:r>
        <w:rPr>
          <w:rFonts w:ascii="Arial" w:hAnsi="Arial"/>
        </w:rPr>
        <w:t xml:space="preserve">, es una fuerza impulsora de la sostenibilidad en el sector. Sus esperanzas están puestas en conseguir que las grandes empresas del sector reconozcan y promuevan la importancia de la sostenibilidad. Además de centrarse en materiales TPA (elastómeros termoplásticos de poliamida) en la producción de vidrio industrial, la transición de productos de vidrio más grandes a productos de vidrio más inteligentes es crucial. El tamaño estándar europeo para las hojas de vidrio en los proyectos de construcción puede reducir de manera drástica los residuos, de un 20 % a solo un 2 %, en comparación con los tamaños no estándar. La automatización cobrará una importancia fundamental para la competitividad en el futuro. Las próximas tendencias, como las hojas de vidrio con paneles solares integrados, el vidrio con protección antichoque para pájaros y el </w:t>
      </w:r>
      <w:r>
        <w:rPr>
          <w:rFonts w:ascii="Arial" w:hAnsi="Arial"/>
        </w:rPr>
        <w:lastRenderedPageBreak/>
        <w:t>vidrio con ahorro de recursos, también tienen un gran potencial para lograr un futuro más ecológico.</w:t>
      </w:r>
    </w:p>
    <w:p w14:paraId="3C3EE363" w14:textId="77777777" w:rsidR="00506039" w:rsidRPr="00506039" w:rsidRDefault="00506039" w:rsidP="00506039">
      <w:pPr>
        <w:jc w:val="both"/>
        <w:rPr>
          <w:rFonts w:ascii="Arial" w:hAnsi="Arial"/>
        </w:rPr>
      </w:pPr>
    </w:p>
    <w:p w14:paraId="53A6200F" w14:textId="77777777" w:rsidR="00506039" w:rsidRPr="00506039" w:rsidRDefault="00506039" w:rsidP="00506039">
      <w:pPr>
        <w:jc w:val="both"/>
        <w:rPr>
          <w:rFonts w:ascii="Arial" w:hAnsi="Arial"/>
          <w:b/>
          <w:bCs/>
        </w:rPr>
      </w:pPr>
      <w:r>
        <w:rPr>
          <w:rFonts w:ascii="Arial" w:hAnsi="Arial"/>
          <w:b/>
        </w:rPr>
        <w:t xml:space="preserve">Colaboración con </w:t>
      </w:r>
      <w:proofErr w:type="spellStart"/>
      <w:r>
        <w:rPr>
          <w:rFonts w:ascii="Arial" w:hAnsi="Arial"/>
          <w:b/>
        </w:rPr>
        <w:t>LiSEC</w:t>
      </w:r>
      <w:proofErr w:type="spellEnd"/>
    </w:p>
    <w:p w14:paraId="2728CA26" w14:textId="726B562C" w:rsidR="00506039" w:rsidRPr="00506039" w:rsidRDefault="00506039" w:rsidP="00506039">
      <w:pPr>
        <w:jc w:val="both"/>
        <w:rPr>
          <w:rFonts w:ascii="Arial" w:hAnsi="Arial"/>
        </w:rPr>
      </w:pPr>
      <w:r>
        <w:rPr>
          <w:rFonts w:ascii="Arial" w:hAnsi="Arial"/>
        </w:rPr>
        <w:t xml:space="preserve">La asociación entre </w:t>
      </w:r>
      <w:proofErr w:type="spellStart"/>
      <w:r>
        <w:rPr>
          <w:rFonts w:ascii="Arial" w:hAnsi="Arial"/>
        </w:rPr>
        <w:t>Glasgruppen</w:t>
      </w:r>
      <w:proofErr w:type="spellEnd"/>
      <w:r>
        <w:rPr>
          <w:rFonts w:ascii="Arial" w:hAnsi="Arial"/>
        </w:rPr>
        <w:t xml:space="preserve"> y </w:t>
      </w:r>
      <w:proofErr w:type="spellStart"/>
      <w:r>
        <w:rPr>
          <w:rFonts w:ascii="Arial" w:hAnsi="Arial"/>
        </w:rPr>
        <w:t>LiSEC</w:t>
      </w:r>
      <w:proofErr w:type="spellEnd"/>
      <w:r>
        <w:rPr>
          <w:rFonts w:ascii="Arial" w:hAnsi="Arial"/>
        </w:rPr>
        <w:t xml:space="preserve"> se remonta a los años setenta, ya que la empresa sueca fue uno de los primeros clientes de </w:t>
      </w:r>
      <w:proofErr w:type="spellStart"/>
      <w:r>
        <w:rPr>
          <w:rFonts w:ascii="Arial" w:hAnsi="Arial"/>
        </w:rPr>
        <w:t>LiSEC</w:t>
      </w:r>
      <w:proofErr w:type="spellEnd"/>
      <w:r>
        <w:rPr>
          <w:rFonts w:ascii="Arial" w:hAnsi="Arial"/>
        </w:rPr>
        <w:t xml:space="preserve"> en el norte de Europa. Esta duradera colaboración comenzó con contactos iniciales durante las primeras ferias dedicadas a la tecnología del vidrio y, desde entonces, se ha convertido en una asociación sinérgica. En Suecia, la marca </w:t>
      </w:r>
      <w:proofErr w:type="spellStart"/>
      <w:r>
        <w:rPr>
          <w:rFonts w:ascii="Arial" w:hAnsi="Arial"/>
        </w:rPr>
        <w:t>LiSEC</w:t>
      </w:r>
      <w:proofErr w:type="spellEnd"/>
      <w:r>
        <w:rPr>
          <w:rFonts w:ascii="Arial" w:hAnsi="Arial"/>
        </w:rPr>
        <w:t xml:space="preserve"> es conocida, especialmente, por sus instalaciones de maquinaria en el sector del vidrio aislante y por sus mesas de corte. Por tanto, Martin G Anderson de </w:t>
      </w:r>
      <w:proofErr w:type="spellStart"/>
      <w:r>
        <w:rPr>
          <w:rFonts w:ascii="Arial" w:hAnsi="Arial"/>
        </w:rPr>
        <w:t>Glasgruppen</w:t>
      </w:r>
      <w:proofErr w:type="spellEnd"/>
      <w:r>
        <w:rPr>
          <w:rFonts w:ascii="Arial" w:hAnsi="Arial"/>
        </w:rPr>
        <w:t xml:space="preserve"> incorporó a sus operaciones mesas de corte </w:t>
      </w:r>
      <w:proofErr w:type="spellStart"/>
      <w:r>
        <w:rPr>
          <w:rFonts w:ascii="Arial" w:hAnsi="Arial"/>
        </w:rPr>
        <w:t>LiSEC</w:t>
      </w:r>
      <w:proofErr w:type="spellEnd"/>
      <w:r>
        <w:rPr>
          <w:rFonts w:ascii="Arial" w:hAnsi="Arial"/>
        </w:rPr>
        <w:t xml:space="preserve"> para vidrio flotante (GFB) y vidrio laminado (VB), una rectificadora (KSR) y una plegadora (BSV-45ANK). La inversión más reciente ha sido una línea TPA. </w:t>
      </w:r>
    </w:p>
    <w:p w14:paraId="62DFE074" w14:textId="7D595D7A" w:rsidR="00506039" w:rsidRPr="00506039" w:rsidRDefault="00506039" w:rsidP="00506039">
      <w:pPr>
        <w:jc w:val="both"/>
        <w:rPr>
          <w:rFonts w:ascii="Arial" w:hAnsi="Arial"/>
        </w:rPr>
      </w:pPr>
      <w:r>
        <w:rPr>
          <w:rFonts w:ascii="Arial" w:hAnsi="Arial"/>
          <w:i/>
        </w:rPr>
        <w:t xml:space="preserve">"Las razones por las que llevamos varias generaciones adquiriendo productos de </w:t>
      </w:r>
      <w:proofErr w:type="spellStart"/>
      <w:r>
        <w:rPr>
          <w:rFonts w:ascii="Arial" w:hAnsi="Arial"/>
          <w:i/>
        </w:rPr>
        <w:t>LiSEC</w:t>
      </w:r>
      <w:proofErr w:type="spellEnd"/>
      <w:r>
        <w:rPr>
          <w:rFonts w:ascii="Arial" w:hAnsi="Arial"/>
          <w:i/>
        </w:rPr>
        <w:t xml:space="preserve"> son la alta calidad y la durabilidad de las instalaciones de maquinaria, así como la fiabilidad de los resultados y el sólido servicio de atención al cliente",</w:t>
      </w:r>
      <w:r>
        <w:rPr>
          <w:rFonts w:ascii="Arial" w:hAnsi="Arial"/>
        </w:rPr>
        <w:t xml:space="preserve"> así lo explica </w:t>
      </w:r>
      <w:proofErr w:type="spellStart"/>
      <w:r>
        <w:rPr>
          <w:rFonts w:ascii="Arial" w:hAnsi="Arial"/>
        </w:rPr>
        <w:t>Stina</w:t>
      </w:r>
      <w:proofErr w:type="spellEnd"/>
      <w:r>
        <w:rPr>
          <w:rFonts w:ascii="Arial" w:hAnsi="Arial"/>
        </w:rPr>
        <w:t xml:space="preserve"> </w:t>
      </w:r>
      <w:proofErr w:type="spellStart"/>
      <w:r>
        <w:rPr>
          <w:rFonts w:ascii="Arial" w:hAnsi="Arial"/>
        </w:rPr>
        <w:t>Wollenius</w:t>
      </w:r>
      <w:proofErr w:type="spellEnd"/>
      <w:r>
        <w:rPr>
          <w:rFonts w:ascii="Arial" w:hAnsi="Arial"/>
        </w:rPr>
        <w:t xml:space="preserve">, propietaria de </w:t>
      </w:r>
      <w:proofErr w:type="spellStart"/>
      <w:r>
        <w:rPr>
          <w:rFonts w:ascii="Arial" w:hAnsi="Arial"/>
        </w:rPr>
        <w:t>Glasgruppen</w:t>
      </w:r>
      <w:proofErr w:type="spellEnd"/>
      <w:r>
        <w:rPr>
          <w:rFonts w:ascii="Arial" w:hAnsi="Arial"/>
        </w:rPr>
        <w:t xml:space="preserve">. </w:t>
      </w:r>
    </w:p>
    <w:p w14:paraId="41B2BB60" w14:textId="70E9608D" w:rsidR="00506039" w:rsidRPr="00506039" w:rsidRDefault="00506039" w:rsidP="00506039">
      <w:pPr>
        <w:jc w:val="both"/>
        <w:rPr>
          <w:rFonts w:ascii="Arial" w:hAnsi="Arial"/>
        </w:rPr>
      </w:pPr>
      <w:proofErr w:type="spellStart"/>
      <w:r>
        <w:rPr>
          <w:rFonts w:ascii="Arial" w:hAnsi="Arial"/>
        </w:rPr>
        <w:t>Glasgruppen</w:t>
      </w:r>
      <w:proofErr w:type="spellEnd"/>
      <w:r>
        <w:rPr>
          <w:rFonts w:ascii="Arial" w:hAnsi="Arial"/>
        </w:rPr>
        <w:t xml:space="preserve"> elogia la colaboración con </w:t>
      </w:r>
      <w:proofErr w:type="spellStart"/>
      <w:r>
        <w:rPr>
          <w:rFonts w:ascii="Arial" w:hAnsi="Arial"/>
        </w:rPr>
        <w:t>LiSEC</w:t>
      </w:r>
      <w:proofErr w:type="spellEnd"/>
      <w:r>
        <w:rPr>
          <w:rFonts w:ascii="Arial" w:hAnsi="Arial"/>
        </w:rPr>
        <w:t xml:space="preserve"> y destaca el excepcional servicio al cliente, los rápidos tiempos de respuesta y la estrecha relación que han establecido con el equipo de ventas. Contar con un servicio de atención al cliente de alta calidad refuerza la confianza y fiabilidad de los clientes. De este modo, </w:t>
      </w:r>
      <w:proofErr w:type="spellStart"/>
      <w:r>
        <w:rPr>
          <w:rFonts w:ascii="Arial" w:hAnsi="Arial"/>
        </w:rPr>
        <w:t>Glasgruppen</w:t>
      </w:r>
      <w:proofErr w:type="spellEnd"/>
      <w:r>
        <w:rPr>
          <w:rFonts w:ascii="Arial" w:hAnsi="Arial"/>
        </w:rPr>
        <w:t xml:space="preserve"> puede prestar más atención a sus propias operaciones, sin necesidad de preocuparse por las máquinas ni por el soporte técnico.</w:t>
      </w:r>
    </w:p>
    <w:p w14:paraId="00CB27AC" w14:textId="77777777" w:rsidR="00506039" w:rsidRPr="00506039" w:rsidRDefault="00506039" w:rsidP="00506039">
      <w:pPr>
        <w:jc w:val="both"/>
        <w:rPr>
          <w:rFonts w:ascii="Arial" w:hAnsi="Arial"/>
        </w:rPr>
      </w:pPr>
    </w:p>
    <w:p w14:paraId="0CBDA424" w14:textId="36E42A6C" w:rsidR="00506039" w:rsidRPr="00506039" w:rsidRDefault="00506039" w:rsidP="00506039">
      <w:pPr>
        <w:jc w:val="both"/>
        <w:rPr>
          <w:rFonts w:ascii="Arial" w:hAnsi="Arial"/>
          <w:b/>
          <w:bCs/>
        </w:rPr>
      </w:pPr>
      <w:r>
        <w:rPr>
          <w:rFonts w:ascii="Arial" w:hAnsi="Arial"/>
          <w:b/>
        </w:rPr>
        <w:t xml:space="preserve">Cómo encaja el empleo de la línea TPA de </w:t>
      </w:r>
      <w:proofErr w:type="spellStart"/>
      <w:r>
        <w:rPr>
          <w:rFonts w:ascii="Arial" w:hAnsi="Arial"/>
          <w:b/>
        </w:rPr>
        <w:t>LiSEC</w:t>
      </w:r>
      <w:proofErr w:type="spellEnd"/>
      <w:r>
        <w:rPr>
          <w:rFonts w:ascii="Arial" w:hAnsi="Arial"/>
          <w:b/>
        </w:rPr>
        <w:t xml:space="preserve"> por parte de Martin G Anderson en la estrategia sostenible de </w:t>
      </w:r>
      <w:proofErr w:type="spellStart"/>
      <w:r>
        <w:rPr>
          <w:rFonts w:ascii="Arial" w:hAnsi="Arial"/>
          <w:b/>
        </w:rPr>
        <w:t>Glasgruppen</w:t>
      </w:r>
      <w:proofErr w:type="spellEnd"/>
    </w:p>
    <w:p w14:paraId="624EA476" w14:textId="0435D460" w:rsidR="00506039" w:rsidRPr="00506039" w:rsidRDefault="00506039" w:rsidP="00506039">
      <w:pPr>
        <w:jc w:val="both"/>
        <w:rPr>
          <w:rFonts w:ascii="Arial" w:hAnsi="Arial"/>
        </w:rPr>
      </w:pPr>
      <w:proofErr w:type="spellStart"/>
      <w:r>
        <w:rPr>
          <w:rFonts w:ascii="Arial" w:hAnsi="Arial"/>
        </w:rPr>
        <w:t>Glasgruppen</w:t>
      </w:r>
      <w:proofErr w:type="spellEnd"/>
      <w:r>
        <w:rPr>
          <w:rFonts w:ascii="Arial" w:hAnsi="Arial"/>
        </w:rPr>
        <w:t xml:space="preserve"> se compromete plenamente a prestar un excelente servicio de atención al cliente, mantener una estrecha relación de confianza con sus clientes y minimizar su impacto en el medioambiente. La empresa destaca en el mercado por comprometerse a realizar entregas rápidas, suministrar productos de alta calidad y generar unas bajas emisiones de CO</w:t>
      </w:r>
      <w:r>
        <w:rPr>
          <w:rFonts w:ascii="Arial" w:hAnsi="Arial"/>
          <w:vertAlign w:val="subscript"/>
        </w:rPr>
        <w:t>2</w:t>
      </w:r>
      <w:r>
        <w:rPr>
          <w:rFonts w:ascii="Arial" w:hAnsi="Arial"/>
        </w:rPr>
        <w:t xml:space="preserve">. En todas las plantas de </w:t>
      </w:r>
      <w:proofErr w:type="spellStart"/>
      <w:r>
        <w:rPr>
          <w:rFonts w:ascii="Arial" w:hAnsi="Arial"/>
        </w:rPr>
        <w:t>Glasgruppen</w:t>
      </w:r>
      <w:proofErr w:type="spellEnd"/>
      <w:r>
        <w:rPr>
          <w:rFonts w:ascii="Arial" w:hAnsi="Arial"/>
        </w:rPr>
        <w:t xml:space="preserve">, por ejemplo, se recicla el 100 % de sus residuos de vidrio, y todos los camiones funcionan con energías renovables. En total, la empresa ha reducido cerca del 98 % de sus propias emisiones y ahora trabaja en acabar también con el 2 % restante. La empresa sueca cree que la TPA es la tecnología con mayor potencial de futuro y, al mismo tiempo, la opción más sostenible a la hora de fabricar elementos de vidrio aislante. La propietaria y directora ejecutiva, </w:t>
      </w:r>
      <w:proofErr w:type="spellStart"/>
      <w:r>
        <w:rPr>
          <w:rFonts w:ascii="Arial" w:hAnsi="Arial"/>
        </w:rPr>
        <w:t>Stina</w:t>
      </w:r>
      <w:proofErr w:type="spellEnd"/>
      <w:r>
        <w:rPr>
          <w:rFonts w:ascii="Arial" w:hAnsi="Arial"/>
        </w:rPr>
        <w:t xml:space="preserve"> </w:t>
      </w:r>
      <w:proofErr w:type="spellStart"/>
      <w:r>
        <w:rPr>
          <w:rFonts w:ascii="Arial" w:hAnsi="Arial"/>
        </w:rPr>
        <w:t>Wollenius</w:t>
      </w:r>
      <w:proofErr w:type="spellEnd"/>
      <w:r>
        <w:rPr>
          <w:rFonts w:ascii="Arial" w:hAnsi="Arial"/>
        </w:rPr>
        <w:t xml:space="preserve">, tiene una opinión muy positiva del material termoplástico de los separadores, ya que no solo prolonga la vida útil del producto y ofrece una gran flexibilidad en cuanto al tamaño de los separadores, sino que además contribuye a la economía circular. Los separadores TPA favorecen la reutilización de los productos, puesto que no dejan residuos metálicos, a diferencia de los modelos convencionales. De esta forma, aumenta su potencial de reutilización y se reduce el impacto medioambiental. </w:t>
      </w:r>
    </w:p>
    <w:p w14:paraId="7E082EB9" w14:textId="4846F052" w:rsidR="00506039" w:rsidRPr="00506039" w:rsidRDefault="00506039" w:rsidP="00506039">
      <w:pPr>
        <w:jc w:val="both"/>
        <w:rPr>
          <w:rFonts w:ascii="Arial" w:hAnsi="Arial"/>
        </w:rPr>
      </w:pPr>
      <w:r>
        <w:rPr>
          <w:rFonts w:ascii="Arial" w:hAnsi="Arial"/>
        </w:rPr>
        <w:lastRenderedPageBreak/>
        <w:t xml:space="preserve">Con el uso de tecnología TPA como objetivo principal, Martin G Anderson inició una búsqueda de soluciones nuevas. Tras un intenso proceso de toma de decisiones, la empresa optó por la línea TPA de </w:t>
      </w:r>
      <w:proofErr w:type="spellStart"/>
      <w:r>
        <w:rPr>
          <w:rFonts w:ascii="Arial" w:hAnsi="Arial"/>
        </w:rPr>
        <w:t>LiSEC</w:t>
      </w:r>
      <w:proofErr w:type="spellEnd"/>
      <w:r>
        <w:rPr>
          <w:rFonts w:ascii="Arial" w:hAnsi="Arial"/>
        </w:rPr>
        <w:t xml:space="preserve">. Martin G Anderson era consciente de los puntos fuertes y débiles de la línea de producción que había empleado hasta entonces. </w:t>
      </w:r>
      <w:proofErr w:type="spellStart"/>
      <w:r>
        <w:rPr>
          <w:rFonts w:ascii="Arial" w:hAnsi="Arial"/>
        </w:rPr>
        <w:t>LiSEC</w:t>
      </w:r>
      <w:proofErr w:type="spellEnd"/>
      <w:r>
        <w:rPr>
          <w:rFonts w:ascii="Arial" w:hAnsi="Arial"/>
        </w:rPr>
        <w:t xml:space="preserve"> fue el único fabricante que podía resolver estos problemas y ofrecer a </w:t>
      </w:r>
      <w:proofErr w:type="spellStart"/>
      <w:r>
        <w:rPr>
          <w:rFonts w:ascii="Arial" w:hAnsi="Arial"/>
        </w:rPr>
        <w:t>Glasgruppen</w:t>
      </w:r>
      <w:proofErr w:type="spellEnd"/>
      <w:r>
        <w:rPr>
          <w:rFonts w:ascii="Arial" w:hAnsi="Arial"/>
        </w:rPr>
        <w:t xml:space="preserve"> la solución más práctica, la línea TPA. La línea TPA de </w:t>
      </w:r>
      <w:proofErr w:type="spellStart"/>
      <w:r>
        <w:rPr>
          <w:rFonts w:ascii="Arial" w:hAnsi="Arial"/>
        </w:rPr>
        <w:t>LiSEC</w:t>
      </w:r>
      <w:proofErr w:type="spellEnd"/>
      <w:r>
        <w:rPr>
          <w:rFonts w:ascii="Arial" w:hAnsi="Arial"/>
        </w:rPr>
        <w:t xml:space="preserve"> utilizada en Martin G Anderson es capaz de producir elementos de vidrio aislante cuádruple con un espesor de hasta 100 mm y un peso de hasta 350 kg por metro lineal. Se diseñó de manera personalizada para los requisitos de espacio de Martin G Anderson. La línea de vidrio aislante dispone de una estación de ajuste de inclinación (NWLD) con la que los elementos de vidrio aislante pueden girarse 90°. El corazón de esta línea es la TPA-A, un sistema completamente automático para insertar los separadores termoplásticos. La TPA de </w:t>
      </w:r>
      <w:proofErr w:type="spellStart"/>
      <w:r>
        <w:rPr>
          <w:rFonts w:ascii="Arial" w:hAnsi="Arial"/>
        </w:rPr>
        <w:t>LiSEC</w:t>
      </w:r>
      <w:proofErr w:type="spellEnd"/>
      <w:r>
        <w:rPr>
          <w:rFonts w:ascii="Arial" w:hAnsi="Arial"/>
        </w:rPr>
        <w:t xml:space="preserve"> ofrece la máxima flexibilidad al cambiar, sin interrupciones ni tiempo de espera, entre los distintos formatos de vidrio y los anchos de los separadores. Con la AGP-A de </w:t>
      </w:r>
      <w:proofErr w:type="spellStart"/>
      <w:r>
        <w:rPr>
          <w:rFonts w:ascii="Arial" w:hAnsi="Arial"/>
        </w:rPr>
        <w:t>LiSEC</w:t>
      </w:r>
      <w:proofErr w:type="spellEnd"/>
      <w:r>
        <w:rPr>
          <w:rFonts w:ascii="Arial" w:hAnsi="Arial"/>
        </w:rPr>
        <w:t xml:space="preserve"> se integra en esta línea una prensa de llenado de gas para llevar a cabo de forma completamente automática el llenado de gas, el montaje y el prensado de los elementos de vidrio aislante. Esta línea es idónea para el procesamiento de separadores termoplásticos ya que tanto la plancha de prensado móvil como la fija funcionan a través de la transmisión por correa. La VFL-1F de </w:t>
      </w:r>
      <w:proofErr w:type="spellStart"/>
      <w:r>
        <w:rPr>
          <w:rFonts w:ascii="Arial" w:hAnsi="Arial"/>
        </w:rPr>
        <w:t>LiSEC</w:t>
      </w:r>
      <w:proofErr w:type="spellEnd"/>
      <w:r>
        <w:rPr>
          <w:rFonts w:ascii="Arial" w:hAnsi="Arial"/>
        </w:rPr>
        <w:t xml:space="preserve"> es un sistema para el sellado de elementos de vidrio aislante con material de sellado de dos componentes. La sofisticada estructura de este sistema también garantiza un alto nivel de seguridad de los procesos y la mayor calidad de corte de esquinas, incluso con elementos pesados.</w:t>
      </w:r>
    </w:p>
    <w:p w14:paraId="2A14BD9C" w14:textId="77777777" w:rsidR="00506039" w:rsidRPr="00506039" w:rsidRDefault="00506039" w:rsidP="00506039">
      <w:pPr>
        <w:jc w:val="both"/>
        <w:rPr>
          <w:rFonts w:ascii="Arial" w:hAnsi="Arial"/>
        </w:rPr>
      </w:pPr>
    </w:p>
    <w:p w14:paraId="78BAE3E2" w14:textId="16255D15" w:rsidR="00506039" w:rsidRDefault="00506039" w:rsidP="00506039">
      <w:pPr>
        <w:jc w:val="both"/>
        <w:rPr>
          <w:rFonts w:ascii="Arial" w:hAnsi="Arial"/>
        </w:rPr>
      </w:pPr>
      <w:r>
        <w:rPr>
          <w:rFonts w:ascii="Arial" w:hAnsi="Arial"/>
        </w:rPr>
        <w:t xml:space="preserve">Más información sobre la TPA-A de </w:t>
      </w:r>
      <w:proofErr w:type="spellStart"/>
      <w:r>
        <w:rPr>
          <w:rFonts w:ascii="Arial" w:hAnsi="Arial"/>
        </w:rPr>
        <w:t>LiSEC</w:t>
      </w:r>
      <w:proofErr w:type="spellEnd"/>
      <w:r>
        <w:rPr>
          <w:rFonts w:ascii="Arial" w:hAnsi="Arial"/>
        </w:rPr>
        <w:t xml:space="preserve">: </w:t>
      </w:r>
      <w:hyperlink r:id="rId8" w:history="1">
        <w:r>
          <w:rPr>
            <w:rStyle w:val="Hyperlink"/>
            <w:rFonts w:ascii="Arial" w:hAnsi="Arial"/>
          </w:rPr>
          <w:t>https://www.lisec.com/solutions/individual-machines/detail/thermoplastic-spacer/tpa</w:t>
        </w:r>
      </w:hyperlink>
    </w:p>
    <w:p w14:paraId="34C5499E" w14:textId="4A5941B8" w:rsidR="00506039" w:rsidRDefault="00506039" w:rsidP="00506039">
      <w:pPr>
        <w:jc w:val="both"/>
        <w:rPr>
          <w:rFonts w:ascii="Arial" w:hAnsi="Arial"/>
        </w:rPr>
      </w:pPr>
      <w:r>
        <w:rPr>
          <w:rFonts w:ascii="Arial" w:hAnsi="Arial"/>
        </w:rPr>
        <w:t xml:space="preserve">Más información sobre la AGP-A de </w:t>
      </w:r>
      <w:proofErr w:type="spellStart"/>
      <w:r>
        <w:rPr>
          <w:rFonts w:ascii="Arial" w:hAnsi="Arial"/>
        </w:rPr>
        <w:t>LiSEC</w:t>
      </w:r>
      <w:proofErr w:type="spellEnd"/>
      <w:r>
        <w:rPr>
          <w:rFonts w:ascii="Arial" w:hAnsi="Arial"/>
        </w:rPr>
        <w:t xml:space="preserve">: </w:t>
      </w:r>
      <w:hyperlink r:id="rId9" w:history="1">
        <w:r>
          <w:rPr>
            <w:rStyle w:val="Hyperlink"/>
            <w:rFonts w:ascii="Arial" w:hAnsi="Arial"/>
          </w:rPr>
          <w:t>https://www.lisec.com/solutions/individual-machines/detail/pressing/agp-a</w:t>
        </w:r>
      </w:hyperlink>
    </w:p>
    <w:p w14:paraId="6DBEC439" w14:textId="141C339B" w:rsidR="00361CA9" w:rsidRDefault="00506039" w:rsidP="00506039">
      <w:pPr>
        <w:jc w:val="both"/>
        <w:rPr>
          <w:rFonts w:ascii="Arial" w:hAnsi="Arial"/>
        </w:rPr>
      </w:pPr>
      <w:r>
        <w:rPr>
          <w:rFonts w:ascii="Arial" w:hAnsi="Arial"/>
        </w:rPr>
        <w:t xml:space="preserve">Más información sobre la VFL-1F de </w:t>
      </w:r>
      <w:proofErr w:type="spellStart"/>
      <w:r>
        <w:rPr>
          <w:rFonts w:ascii="Arial" w:hAnsi="Arial"/>
        </w:rPr>
        <w:t>LiSEC</w:t>
      </w:r>
      <w:proofErr w:type="spellEnd"/>
      <w:r>
        <w:rPr>
          <w:rFonts w:ascii="Arial" w:hAnsi="Arial"/>
        </w:rPr>
        <w:t xml:space="preserve">: </w:t>
      </w:r>
      <w:hyperlink r:id="rId10" w:history="1">
        <w:r>
          <w:rPr>
            <w:rStyle w:val="Hyperlink"/>
            <w:rFonts w:ascii="Arial" w:hAnsi="Arial"/>
          </w:rPr>
          <w:t>https://www.lisec.com/solutions/individual-machines/detail/sealing/cleanseal-vfl-1f</w:t>
        </w:r>
      </w:hyperlink>
    </w:p>
    <w:p w14:paraId="225383D3" w14:textId="77777777" w:rsidR="00506039" w:rsidRDefault="00506039" w:rsidP="00506039">
      <w:pPr>
        <w:jc w:val="both"/>
        <w:rPr>
          <w:rFonts w:ascii="Arial" w:hAnsi="Arial" w:cs="Arial"/>
        </w:rPr>
      </w:pPr>
    </w:p>
    <w:p w14:paraId="6AD0278F" w14:textId="77777777" w:rsidR="006629CC" w:rsidRDefault="006629CC">
      <w:pPr>
        <w:rPr>
          <w:rFonts w:ascii="Arial" w:hAnsi="Arial" w:cs="Arial"/>
        </w:rPr>
      </w:pPr>
      <w:r>
        <w:br w:type="page"/>
      </w:r>
    </w:p>
    <w:p w14:paraId="606B344A" w14:textId="2B49932E" w:rsidR="00361CA9" w:rsidRPr="0084623F" w:rsidRDefault="006629CC" w:rsidP="00361CA9">
      <w:pPr>
        <w:jc w:val="both"/>
        <w:rPr>
          <w:rFonts w:ascii="Arial" w:hAnsi="Arial" w:cs="Arial"/>
          <w:b/>
          <w:bCs/>
        </w:rPr>
      </w:pPr>
      <w:r>
        <w:rPr>
          <w:rFonts w:ascii="Arial" w:hAnsi="Arial"/>
          <w:b/>
        </w:rPr>
        <w:lastRenderedPageBreak/>
        <w:t>Imágenes:</w:t>
      </w:r>
    </w:p>
    <w:p w14:paraId="0BC1F804" w14:textId="6D82B4AA" w:rsidR="00361CA9" w:rsidRDefault="00527141" w:rsidP="00361CA9">
      <w:pPr>
        <w:jc w:val="both"/>
        <w:rPr>
          <w:rFonts w:ascii="Arial" w:hAnsi="Arial" w:cs="Arial"/>
        </w:rPr>
      </w:pPr>
      <w:bookmarkStart w:id="2" w:name="_Hlk138084845"/>
      <w:bookmarkStart w:id="3" w:name="_Hlk138084888"/>
      <w:r>
        <w:rPr>
          <w:rFonts w:ascii="Arial" w:hAnsi="Arial"/>
          <w:noProof/>
        </w:rPr>
        <w:drawing>
          <wp:inline distT="0" distB="0" distL="0" distR="0" wp14:anchorId="082A8596" wp14:editId="1901D926">
            <wp:extent cx="4680000" cy="2753851"/>
            <wp:effectExtent l="0" t="0" r="6350" b="889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80000" cy="2753851"/>
                    </a:xfrm>
                    <a:prstGeom prst="rect">
                      <a:avLst/>
                    </a:prstGeom>
                    <a:noFill/>
                    <a:ln>
                      <a:noFill/>
                    </a:ln>
                  </pic:spPr>
                </pic:pic>
              </a:graphicData>
            </a:graphic>
          </wp:inline>
        </w:drawing>
      </w:r>
    </w:p>
    <w:p w14:paraId="03B439BB" w14:textId="54D54E30" w:rsidR="00F43599" w:rsidRPr="00C97928" w:rsidRDefault="00F43599" w:rsidP="00F43599">
      <w:pPr>
        <w:widowControl w:val="0"/>
        <w:spacing w:after="0" w:line="240" w:lineRule="auto"/>
        <w:jc w:val="both"/>
        <w:rPr>
          <w:rFonts w:ascii="Arial" w:hAnsi="Arial" w:cs="Arial"/>
          <w:bCs/>
          <w:sz w:val="20"/>
          <w:szCs w:val="24"/>
        </w:rPr>
      </w:pPr>
      <w:r>
        <w:rPr>
          <w:rFonts w:ascii="Arial" w:hAnsi="Arial"/>
        </w:rPr>
        <w:t xml:space="preserve">Arnt Jakobsen (agente de ventas) y la propietaria de </w:t>
      </w:r>
      <w:proofErr w:type="spellStart"/>
      <w:r>
        <w:rPr>
          <w:rFonts w:ascii="Arial" w:hAnsi="Arial"/>
        </w:rPr>
        <w:t>Glasgruppen</w:t>
      </w:r>
      <w:proofErr w:type="spellEnd"/>
      <w:r>
        <w:rPr>
          <w:rFonts w:ascii="Arial" w:hAnsi="Arial"/>
        </w:rPr>
        <w:t xml:space="preserve">, </w:t>
      </w:r>
      <w:proofErr w:type="spellStart"/>
      <w:r>
        <w:rPr>
          <w:rFonts w:ascii="Arial" w:hAnsi="Arial"/>
        </w:rPr>
        <w:t>Stina</w:t>
      </w:r>
      <w:proofErr w:type="spellEnd"/>
      <w:r>
        <w:rPr>
          <w:rFonts w:ascii="Arial" w:hAnsi="Arial"/>
        </w:rPr>
        <w:t xml:space="preserve"> </w:t>
      </w:r>
      <w:proofErr w:type="spellStart"/>
      <w:r>
        <w:rPr>
          <w:rFonts w:ascii="Arial" w:hAnsi="Arial"/>
        </w:rPr>
        <w:t>Wollenius</w:t>
      </w:r>
      <w:proofErr w:type="spellEnd"/>
      <w:r>
        <w:rPr>
          <w:rFonts w:ascii="Arial" w:hAnsi="Arial"/>
        </w:rPr>
        <w:t xml:space="preserve"> </w:t>
      </w:r>
      <w:r>
        <w:rPr>
          <w:rFonts w:ascii="Arial" w:hAnsi="Arial"/>
          <w:color w:val="202124"/>
          <w:shd w:val="clear" w:color="auto" w:fill="FFFFFF"/>
        </w:rPr>
        <w:t xml:space="preserve">© </w:t>
      </w:r>
      <w:proofErr w:type="spellStart"/>
      <w:r>
        <w:rPr>
          <w:rFonts w:ascii="Arial" w:hAnsi="Arial"/>
        </w:rPr>
        <w:t>LiSEC</w:t>
      </w:r>
      <w:proofErr w:type="spellEnd"/>
    </w:p>
    <w:p w14:paraId="36D271F0" w14:textId="3417699D" w:rsidR="00F43599" w:rsidRDefault="00F43599" w:rsidP="00361CA9">
      <w:pPr>
        <w:jc w:val="both"/>
        <w:rPr>
          <w:rFonts w:ascii="Arial" w:hAnsi="Arial" w:cs="Arial"/>
        </w:rPr>
      </w:pPr>
    </w:p>
    <w:p w14:paraId="415FE587" w14:textId="77777777" w:rsidR="00527141" w:rsidRDefault="00527141" w:rsidP="00361CA9">
      <w:pPr>
        <w:jc w:val="both"/>
        <w:rPr>
          <w:rFonts w:ascii="Arial" w:hAnsi="Arial" w:cs="Arial"/>
        </w:rPr>
      </w:pPr>
    </w:p>
    <w:p w14:paraId="45E14A63" w14:textId="5EF651F0" w:rsidR="00FD2040" w:rsidRDefault="00527141" w:rsidP="00361CA9">
      <w:pPr>
        <w:jc w:val="both"/>
        <w:rPr>
          <w:rFonts w:ascii="Arial" w:hAnsi="Arial" w:cs="Arial"/>
        </w:rPr>
      </w:pPr>
      <w:r>
        <w:rPr>
          <w:rFonts w:ascii="Arial" w:hAnsi="Arial"/>
          <w:noProof/>
        </w:rPr>
        <w:drawing>
          <wp:inline distT="0" distB="0" distL="0" distR="0" wp14:anchorId="28116B2C" wp14:editId="2711C7B9">
            <wp:extent cx="4680000" cy="3120000"/>
            <wp:effectExtent l="0" t="0" r="6350" b="444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72F0FFA7" w14:textId="45B832A3" w:rsidR="00F43599" w:rsidRPr="00F43599" w:rsidRDefault="00F43599" w:rsidP="00361CA9">
      <w:pPr>
        <w:jc w:val="both"/>
        <w:rPr>
          <w:rFonts w:ascii="Arial" w:hAnsi="Arial" w:cs="Arial"/>
        </w:rPr>
      </w:pPr>
      <w:r>
        <w:rPr>
          <w:rFonts w:ascii="Arial" w:hAnsi="Arial"/>
        </w:rPr>
        <w:t xml:space="preserve">La línea TPA-A de </w:t>
      </w:r>
      <w:proofErr w:type="spellStart"/>
      <w:r>
        <w:rPr>
          <w:rFonts w:ascii="Arial" w:hAnsi="Arial"/>
        </w:rPr>
        <w:t>LiSEC</w:t>
      </w:r>
      <w:proofErr w:type="spellEnd"/>
      <w:r>
        <w:rPr>
          <w:rFonts w:ascii="Arial" w:hAnsi="Arial"/>
        </w:rPr>
        <w:t xml:space="preserve"> </w:t>
      </w:r>
      <w:r>
        <w:rPr>
          <w:rFonts w:ascii="Arial" w:hAnsi="Arial"/>
          <w:color w:val="202124"/>
          <w:shd w:val="clear" w:color="auto" w:fill="FFFFFF"/>
        </w:rPr>
        <w:t xml:space="preserve">© </w:t>
      </w:r>
      <w:proofErr w:type="spellStart"/>
      <w:r>
        <w:rPr>
          <w:rFonts w:ascii="Arial" w:hAnsi="Arial"/>
        </w:rPr>
        <w:t>LiSEC</w:t>
      </w:r>
      <w:proofErr w:type="spellEnd"/>
    </w:p>
    <w:p w14:paraId="131A90A3" w14:textId="77777777" w:rsidR="00527141" w:rsidRPr="00F43599" w:rsidRDefault="00527141" w:rsidP="00361CA9">
      <w:pPr>
        <w:jc w:val="both"/>
        <w:rPr>
          <w:rFonts w:ascii="Arial" w:hAnsi="Arial" w:cs="Arial"/>
          <w:lang w:val="fr-FR"/>
        </w:rPr>
      </w:pPr>
    </w:p>
    <w:p w14:paraId="6D4D496D" w14:textId="77777777" w:rsidR="00527141" w:rsidRPr="00F43599" w:rsidRDefault="00527141" w:rsidP="00361CA9">
      <w:pPr>
        <w:jc w:val="both"/>
        <w:rPr>
          <w:rFonts w:ascii="Arial" w:hAnsi="Arial" w:cs="Arial"/>
          <w:lang w:val="fr-FR"/>
        </w:rPr>
      </w:pPr>
    </w:p>
    <w:p w14:paraId="26CB3ECF" w14:textId="77777777" w:rsidR="00527141" w:rsidRPr="00F43599" w:rsidRDefault="00527141" w:rsidP="00361CA9">
      <w:pPr>
        <w:jc w:val="both"/>
        <w:rPr>
          <w:rFonts w:ascii="Arial" w:hAnsi="Arial" w:cs="Arial"/>
          <w:lang w:val="fr-FR"/>
        </w:rPr>
      </w:pPr>
    </w:p>
    <w:p w14:paraId="15B4452E" w14:textId="4906D94D" w:rsidR="00527141" w:rsidRDefault="00527141" w:rsidP="00361CA9">
      <w:pPr>
        <w:jc w:val="both"/>
        <w:rPr>
          <w:rFonts w:ascii="Arial" w:hAnsi="Arial" w:cs="Arial"/>
        </w:rPr>
      </w:pPr>
      <w:r>
        <w:rPr>
          <w:rFonts w:ascii="Arial" w:hAnsi="Arial"/>
          <w:noProof/>
        </w:rPr>
        <w:lastRenderedPageBreak/>
        <w:drawing>
          <wp:inline distT="0" distB="0" distL="0" distR="0" wp14:anchorId="198D3F1C" wp14:editId="07FD1C53">
            <wp:extent cx="4680000" cy="3120000"/>
            <wp:effectExtent l="0" t="0" r="6350" b="444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209CC636" w14:textId="6F0F56B6" w:rsidR="00F43599" w:rsidRDefault="00F43599" w:rsidP="00361CA9">
      <w:pPr>
        <w:jc w:val="both"/>
        <w:rPr>
          <w:rFonts w:ascii="Arial" w:hAnsi="Arial" w:cs="Arial"/>
        </w:rPr>
      </w:pPr>
      <w:r>
        <w:rPr>
          <w:rFonts w:ascii="Arial" w:hAnsi="Arial"/>
        </w:rPr>
        <w:t xml:space="preserve">La nave de producción ubicada en </w:t>
      </w:r>
      <w:proofErr w:type="spellStart"/>
      <w:r>
        <w:rPr>
          <w:rFonts w:ascii="Arial" w:hAnsi="Arial"/>
        </w:rPr>
        <w:t>Örebrö</w:t>
      </w:r>
      <w:proofErr w:type="spellEnd"/>
      <w:r>
        <w:rPr>
          <w:rFonts w:ascii="Arial" w:hAnsi="Arial"/>
        </w:rPr>
        <w:t xml:space="preserve">, Suecia </w:t>
      </w:r>
      <w:r>
        <w:rPr>
          <w:rFonts w:ascii="Arial" w:hAnsi="Arial"/>
          <w:color w:val="202124"/>
          <w:shd w:val="clear" w:color="auto" w:fill="FFFFFF"/>
        </w:rPr>
        <w:t xml:space="preserve">© </w:t>
      </w:r>
      <w:proofErr w:type="spellStart"/>
      <w:r>
        <w:rPr>
          <w:rFonts w:ascii="Arial" w:hAnsi="Arial"/>
        </w:rPr>
        <w:t>LiSEC</w:t>
      </w:r>
      <w:proofErr w:type="spellEnd"/>
    </w:p>
    <w:p w14:paraId="77DC2DC8" w14:textId="77777777" w:rsidR="00AE66E6" w:rsidRDefault="00AE66E6" w:rsidP="00361CA9">
      <w:pPr>
        <w:jc w:val="both"/>
        <w:rPr>
          <w:rFonts w:ascii="Arial" w:hAnsi="Arial"/>
          <w:noProof/>
        </w:rPr>
      </w:pPr>
    </w:p>
    <w:p w14:paraId="3D86CF71" w14:textId="4969B89D" w:rsidR="00527141" w:rsidRDefault="00527141" w:rsidP="00361CA9">
      <w:pPr>
        <w:jc w:val="both"/>
        <w:rPr>
          <w:rFonts w:ascii="Arial" w:hAnsi="Arial" w:cs="Arial"/>
        </w:rPr>
      </w:pPr>
      <w:r>
        <w:rPr>
          <w:rFonts w:ascii="Arial" w:hAnsi="Arial"/>
          <w:noProof/>
        </w:rPr>
        <w:drawing>
          <wp:inline distT="0" distB="0" distL="0" distR="0" wp14:anchorId="4E6380C9" wp14:editId="386FDDD5">
            <wp:extent cx="4680000" cy="3120000"/>
            <wp:effectExtent l="0" t="0" r="6350" b="444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34CA46C9" w14:textId="4241F934" w:rsidR="00E50B9A" w:rsidRDefault="00E50B9A" w:rsidP="00361CA9">
      <w:pPr>
        <w:jc w:val="both"/>
        <w:rPr>
          <w:rFonts w:ascii="Arial" w:hAnsi="Arial" w:cs="Arial"/>
        </w:rPr>
      </w:pPr>
      <w:r>
        <w:rPr>
          <w:rFonts w:ascii="Arial" w:hAnsi="Arial"/>
        </w:rPr>
        <w:t xml:space="preserve">La línea de producción se adaptó a unos requisitos de espacio concretos </w:t>
      </w:r>
      <w:r>
        <w:rPr>
          <w:rFonts w:ascii="Arial" w:hAnsi="Arial"/>
          <w:color w:val="202124"/>
          <w:shd w:val="clear" w:color="auto" w:fill="FFFFFF"/>
        </w:rPr>
        <w:t xml:space="preserve">© </w:t>
      </w:r>
      <w:proofErr w:type="spellStart"/>
      <w:r>
        <w:rPr>
          <w:rFonts w:ascii="Arial" w:hAnsi="Arial"/>
        </w:rPr>
        <w:t>LiSEC</w:t>
      </w:r>
      <w:proofErr w:type="spellEnd"/>
    </w:p>
    <w:p w14:paraId="088F3EE7" w14:textId="77777777" w:rsidR="00527141" w:rsidRDefault="00527141" w:rsidP="00361CA9">
      <w:pPr>
        <w:jc w:val="both"/>
        <w:rPr>
          <w:rFonts w:ascii="Arial" w:hAnsi="Arial" w:cs="Arial"/>
        </w:rPr>
      </w:pPr>
    </w:p>
    <w:p w14:paraId="4D3C019D" w14:textId="0FF09175" w:rsidR="00527141" w:rsidRDefault="00527141" w:rsidP="00361CA9">
      <w:pPr>
        <w:jc w:val="both"/>
        <w:rPr>
          <w:rFonts w:ascii="Arial" w:hAnsi="Arial" w:cs="Arial"/>
        </w:rPr>
      </w:pPr>
      <w:r>
        <w:rPr>
          <w:rFonts w:ascii="Arial" w:hAnsi="Arial"/>
          <w:noProof/>
        </w:rPr>
        <w:lastRenderedPageBreak/>
        <w:drawing>
          <wp:inline distT="0" distB="0" distL="0" distR="0" wp14:anchorId="7260C604" wp14:editId="12B29A87">
            <wp:extent cx="4680000" cy="3120000"/>
            <wp:effectExtent l="0" t="0" r="6350" b="444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5AB96E35" w14:textId="26F472F2" w:rsidR="00E50B9A" w:rsidRDefault="00E50B9A" w:rsidP="00361CA9">
      <w:pPr>
        <w:jc w:val="both"/>
        <w:rPr>
          <w:rFonts w:ascii="Arial" w:hAnsi="Arial" w:cs="Arial"/>
        </w:rPr>
      </w:pPr>
      <w:r>
        <w:rPr>
          <w:rFonts w:ascii="Arial" w:hAnsi="Arial"/>
        </w:rPr>
        <w:t xml:space="preserve">La calidad de la hoja de vidrio se comprueba mediante un escáner </w:t>
      </w:r>
      <w:r>
        <w:rPr>
          <w:rFonts w:ascii="Arial" w:hAnsi="Arial"/>
          <w:color w:val="202124"/>
          <w:shd w:val="clear" w:color="auto" w:fill="FFFFFF"/>
        </w:rPr>
        <w:t xml:space="preserve">© </w:t>
      </w:r>
      <w:proofErr w:type="spellStart"/>
      <w:r>
        <w:rPr>
          <w:rFonts w:ascii="Arial" w:hAnsi="Arial"/>
        </w:rPr>
        <w:t>LiSEC</w:t>
      </w:r>
      <w:proofErr w:type="spellEnd"/>
    </w:p>
    <w:p w14:paraId="0DE0C7A7" w14:textId="77777777" w:rsidR="00527141" w:rsidRDefault="00527141" w:rsidP="00361CA9">
      <w:pPr>
        <w:jc w:val="both"/>
        <w:rPr>
          <w:rFonts w:ascii="Arial" w:hAnsi="Arial" w:cs="Arial"/>
        </w:rPr>
      </w:pPr>
    </w:p>
    <w:p w14:paraId="70322665" w14:textId="1216C06D" w:rsidR="00527141" w:rsidRDefault="00527141" w:rsidP="00361CA9">
      <w:pPr>
        <w:jc w:val="both"/>
        <w:rPr>
          <w:rFonts w:ascii="Arial" w:hAnsi="Arial" w:cs="Arial"/>
        </w:rPr>
      </w:pPr>
      <w:r>
        <w:rPr>
          <w:rFonts w:ascii="Arial" w:hAnsi="Arial"/>
          <w:noProof/>
        </w:rPr>
        <w:drawing>
          <wp:inline distT="0" distB="0" distL="0" distR="0" wp14:anchorId="0CF31635" wp14:editId="7A4933B0">
            <wp:extent cx="4680000" cy="3120000"/>
            <wp:effectExtent l="0" t="0" r="6350" b="444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4D50AF41" w14:textId="2DD46D16" w:rsidR="00AE66E6" w:rsidRPr="00AE66E6" w:rsidRDefault="00AE66E6" w:rsidP="00361CA9">
      <w:pPr>
        <w:jc w:val="both"/>
        <w:rPr>
          <w:rFonts w:ascii="Arial" w:hAnsi="Arial" w:cs="Arial"/>
        </w:rPr>
      </w:pPr>
      <w:r>
        <w:rPr>
          <w:rFonts w:ascii="Arial" w:hAnsi="Arial"/>
          <w:color w:val="202124"/>
          <w:shd w:val="clear" w:color="auto" w:fill="FFFFFF"/>
        </w:rPr>
        <w:t xml:space="preserve">La línea RSV-B de </w:t>
      </w:r>
      <w:proofErr w:type="spellStart"/>
      <w:r>
        <w:rPr>
          <w:rFonts w:ascii="Arial" w:hAnsi="Arial"/>
          <w:color w:val="202124"/>
          <w:shd w:val="clear" w:color="auto" w:fill="FFFFFF"/>
        </w:rPr>
        <w:t>LiSEC</w:t>
      </w:r>
      <w:proofErr w:type="spellEnd"/>
      <w:r>
        <w:rPr>
          <w:rFonts w:ascii="Arial" w:hAnsi="Arial"/>
          <w:color w:val="202124"/>
          <w:shd w:val="clear" w:color="auto" w:fill="FFFFFF"/>
        </w:rPr>
        <w:t xml:space="preserve"> © </w:t>
      </w:r>
      <w:proofErr w:type="spellStart"/>
      <w:r>
        <w:rPr>
          <w:rFonts w:ascii="Arial" w:hAnsi="Arial"/>
        </w:rPr>
        <w:t>LiSEC</w:t>
      </w:r>
      <w:proofErr w:type="spellEnd"/>
    </w:p>
    <w:p w14:paraId="74713E06" w14:textId="77777777" w:rsidR="00527141" w:rsidRPr="00AE66E6" w:rsidRDefault="00527141" w:rsidP="00361CA9">
      <w:pPr>
        <w:jc w:val="both"/>
        <w:rPr>
          <w:rFonts w:ascii="Arial" w:hAnsi="Arial" w:cs="Arial"/>
          <w:lang w:val="fr-FR"/>
        </w:rPr>
      </w:pPr>
    </w:p>
    <w:p w14:paraId="5BAF2032" w14:textId="1508249C" w:rsidR="00527141" w:rsidRDefault="00527141" w:rsidP="00361CA9">
      <w:pPr>
        <w:jc w:val="both"/>
        <w:rPr>
          <w:rFonts w:ascii="Arial" w:hAnsi="Arial" w:cs="Arial"/>
        </w:rPr>
      </w:pPr>
      <w:r>
        <w:rPr>
          <w:rFonts w:ascii="Arial" w:hAnsi="Arial"/>
          <w:noProof/>
        </w:rPr>
        <w:lastRenderedPageBreak/>
        <w:drawing>
          <wp:inline distT="0" distB="0" distL="0" distR="0" wp14:anchorId="37C73337" wp14:editId="3B9A41E8">
            <wp:extent cx="4680000" cy="3120000"/>
            <wp:effectExtent l="0" t="0" r="6350" b="444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5C51D04C" w14:textId="79C783E0" w:rsidR="00E50B9A" w:rsidRPr="00E50B9A" w:rsidRDefault="00E50B9A" w:rsidP="00361CA9">
      <w:pPr>
        <w:jc w:val="both"/>
        <w:rPr>
          <w:rFonts w:ascii="Arial" w:hAnsi="Arial" w:cs="Arial"/>
        </w:rPr>
      </w:pPr>
      <w:r>
        <w:rPr>
          <w:rFonts w:ascii="Arial" w:hAnsi="Arial"/>
        </w:rPr>
        <w:t xml:space="preserve">La línea AGP-A de </w:t>
      </w:r>
      <w:proofErr w:type="spellStart"/>
      <w:r>
        <w:rPr>
          <w:rFonts w:ascii="Arial" w:hAnsi="Arial"/>
        </w:rPr>
        <w:t>LiSEC</w:t>
      </w:r>
      <w:proofErr w:type="spellEnd"/>
      <w:r>
        <w:rPr>
          <w:rFonts w:ascii="Arial" w:hAnsi="Arial"/>
        </w:rPr>
        <w:t xml:space="preserve"> </w:t>
      </w:r>
      <w:r>
        <w:rPr>
          <w:rFonts w:ascii="Arial" w:hAnsi="Arial"/>
          <w:color w:val="202124"/>
          <w:shd w:val="clear" w:color="auto" w:fill="FFFFFF"/>
        </w:rPr>
        <w:t xml:space="preserve">© </w:t>
      </w:r>
      <w:proofErr w:type="spellStart"/>
      <w:r>
        <w:rPr>
          <w:rFonts w:ascii="Arial" w:hAnsi="Arial"/>
        </w:rPr>
        <w:t>LiSEC</w:t>
      </w:r>
      <w:proofErr w:type="spellEnd"/>
    </w:p>
    <w:p w14:paraId="47FBE8EF" w14:textId="77777777" w:rsidR="00527141" w:rsidRPr="00E50B9A" w:rsidRDefault="00527141" w:rsidP="00361CA9">
      <w:pPr>
        <w:jc w:val="both"/>
        <w:rPr>
          <w:rFonts w:ascii="Arial" w:hAnsi="Arial" w:cs="Arial"/>
          <w:lang w:val="fr-FR"/>
        </w:rPr>
      </w:pPr>
    </w:p>
    <w:p w14:paraId="2FE314F6" w14:textId="77777777" w:rsidR="00E50B9A" w:rsidRDefault="00527141" w:rsidP="00361CA9">
      <w:pPr>
        <w:jc w:val="both"/>
      </w:pPr>
      <w:r>
        <w:rPr>
          <w:rFonts w:ascii="Arial" w:hAnsi="Arial"/>
          <w:noProof/>
        </w:rPr>
        <w:drawing>
          <wp:inline distT="0" distB="0" distL="0" distR="0" wp14:anchorId="726AB198" wp14:editId="2C4433B5">
            <wp:extent cx="4680000" cy="3120000"/>
            <wp:effectExtent l="0" t="0" r="6350" b="444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r>
        <w:t xml:space="preserve"> </w:t>
      </w:r>
    </w:p>
    <w:p w14:paraId="4C415726" w14:textId="2A929E8F" w:rsidR="00E50B9A" w:rsidRDefault="00E50B9A" w:rsidP="00361CA9">
      <w:pPr>
        <w:jc w:val="both"/>
      </w:pPr>
      <w:r>
        <w:t xml:space="preserve">La instalación de sellado VFL-1F de </w:t>
      </w:r>
      <w:proofErr w:type="spellStart"/>
      <w:r>
        <w:t>LiSEC</w:t>
      </w:r>
      <w:proofErr w:type="spellEnd"/>
      <w:r>
        <w:t xml:space="preserve"> </w:t>
      </w:r>
      <w:r>
        <w:rPr>
          <w:rFonts w:ascii="Arial" w:hAnsi="Arial"/>
          <w:color w:val="202124"/>
          <w:shd w:val="clear" w:color="auto" w:fill="FFFFFF"/>
        </w:rPr>
        <w:t xml:space="preserve">© </w:t>
      </w:r>
      <w:proofErr w:type="spellStart"/>
      <w:r>
        <w:rPr>
          <w:rFonts w:ascii="Arial" w:hAnsi="Arial"/>
          <w:color w:val="202124"/>
          <w:shd w:val="clear" w:color="auto" w:fill="FFFFFF"/>
        </w:rPr>
        <w:t>LiSEC</w:t>
      </w:r>
      <w:proofErr w:type="spellEnd"/>
    </w:p>
    <w:p w14:paraId="4B9FDB40" w14:textId="21261005" w:rsidR="00527141" w:rsidRDefault="00E50B9A" w:rsidP="00361CA9">
      <w:pPr>
        <w:jc w:val="both"/>
        <w:rPr>
          <w:rFonts w:ascii="Arial" w:hAnsi="Arial" w:cs="Arial"/>
        </w:rPr>
      </w:pPr>
      <w:r>
        <w:rPr>
          <w:noProof/>
        </w:rPr>
        <w:lastRenderedPageBreak/>
        <w:drawing>
          <wp:inline distT="0" distB="0" distL="0" distR="0" wp14:anchorId="50D43AB7" wp14:editId="6B07E9A9">
            <wp:extent cx="4680000" cy="3122927"/>
            <wp:effectExtent l="0" t="0" r="635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80000" cy="3122927"/>
                    </a:xfrm>
                    <a:prstGeom prst="rect">
                      <a:avLst/>
                    </a:prstGeom>
                    <a:noFill/>
                    <a:ln>
                      <a:noFill/>
                    </a:ln>
                  </pic:spPr>
                </pic:pic>
              </a:graphicData>
            </a:graphic>
          </wp:inline>
        </w:drawing>
      </w:r>
    </w:p>
    <w:p w14:paraId="303783B4" w14:textId="610F2A1B" w:rsidR="00FD2040" w:rsidRDefault="00E50B9A" w:rsidP="00FD2040">
      <w:pPr>
        <w:widowControl w:val="0"/>
        <w:spacing w:after="0" w:line="240" w:lineRule="auto"/>
        <w:jc w:val="both"/>
        <w:rPr>
          <w:rFonts w:ascii="Arial" w:hAnsi="Arial"/>
          <w:color w:val="202124"/>
          <w:shd w:val="clear" w:color="auto" w:fill="FFFFFF"/>
        </w:rPr>
      </w:pPr>
      <w:r>
        <w:rPr>
          <w:rFonts w:ascii="Arial" w:hAnsi="Arial"/>
          <w:color w:val="202124"/>
          <w:shd w:val="clear" w:color="auto" w:fill="FFFFFF"/>
        </w:rPr>
        <w:t xml:space="preserve">El aplicador TPA © </w:t>
      </w:r>
      <w:proofErr w:type="spellStart"/>
      <w:r>
        <w:rPr>
          <w:rFonts w:ascii="Arial" w:hAnsi="Arial"/>
          <w:color w:val="202124"/>
          <w:shd w:val="clear" w:color="auto" w:fill="FFFFFF"/>
        </w:rPr>
        <w:t>LiSEC</w:t>
      </w:r>
      <w:proofErr w:type="spellEnd"/>
    </w:p>
    <w:bookmarkEnd w:id="2"/>
    <w:p w14:paraId="22185AEF" w14:textId="77777777" w:rsidR="00D013F9" w:rsidRPr="00C97928" w:rsidRDefault="00D013F9" w:rsidP="00D013F9">
      <w:pPr>
        <w:widowControl w:val="0"/>
        <w:spacing w:after="0" w:line="240" w:lineRule="auto"/>
        <w:jc w:val="both"/>
        <w:rPr>
          <w:rFonts w:ascii="Arial" w:hAnsi="Arial" w:cs="Arial"/>
          <w:b/>
          <w:sz w:val="18"/>
        </w:rPr>
      </w:pPr>
    </w:p>
    <w:bookmarkEnd w:id="3"/>
    <w:p w14:paraId="1B6558EB" w14:textId="77777777" w:rsidR="00D013F9" w:rsidRPr="00C97928" w:rsidRDefault="00D013F9" w:rsidP="00D013F9">
      <w:pPr>
        <w:widowControl w:val="0"/>
        <w:spacing w:after="0" w:line="240" w:lineRule="auto"/>
        <w:jc w:val="both"/>
        <w:rPr>
          <w:rFonts w:ascii="Arial" w:hAnsi="Arial" w:cs="Arial"/>
          <w:b/>
          <w:sz w:val="20"/>
          <w:szCs w:val="20"/>
        </w:rPr>
      </w:pPr>
      <w:r>
        <w:rPr>
          <w:rFonts w:ascii="Arial" w:hAnsi="Arial"/>
          <w:b/>
          <w:sz w:val="20"/>
        </w:rPr>
        <w:t xml:space="preserve">Acerca de </w:t>
      </w:r>
      <w:proofErr w:type="spellStart"/>
      <w:r>
        <w:rPr>
          <w:rFonts w:ascii="Arial" w:hAnsi="Arial"/>
          <w:b/>
          <w:sz w:val="20"/>
        </w:rPr>
        <w:t>LiSEC</w:t>
      </w:r>
      <w:proofErr w:type="spellEnd"/>
    </w:p>
    <w:p w14:paraId="276C3DBE" w14:textId="77777777" w:rsidR="00513F88" w:rsidRPr="00C97928" w:rsidRDefault="00513F88" w:rsidP="00513F88">
      <w:pPr>
        <w:widowControl w:val="0"/>
        <w:spacing w:after="0" w:line="240" w:lineRule="auto"/>
        <w:jc w:val="both"/>
        <w:rPr>
          <w:rFonts w:ascii="Arial" w:hAnsi="Arial" w:cs="Arial"/>
          <w:sz w:val="20"/>
          <w:szCs w:val="20"/>
        </w:rPr>
      </w:pPr>
      <w:bookmarkStart w:id="4" w:name="_Hlk97719094"/>
      <w:proofErr w:type="spellStart"/>
      <w:r>
        <w:rPr>
          <w:rFonts w:ascii="Arial" w:hAnsi="Arial"/>
          <w:sz w:val="20"/>
        </w:rPr>
        <w:t>LiSEC</w:t>
      </w:r>
      <w:proofErr w:type="spellEnd"/>
      <w:r>
        <w:rPr>
          <w:rFonts w:ascii="Arial" w:hAnsi="Arial"/>
          <w:sz w:val="20"/>
        </w:rPr>
        <w:t>, con sede central en Seitenstetten/</w:t>
      </w:r>
      <w:proofErr w:type="spellStart"/>
      <w:r>
        <w:rPr>
          <w:rFonts w:ascii="Arial" w:hAnsi="Arial"/>
          <w:sz w:val="20"/>
        </w:rPr>
        <w:t>Amstetten</w:t>
      </w:r>
      <w:proofErr w:type="spellEnd"/>
      <w:r>
        <w:rPr>
          <w:rFonts w:ascii="Arial" w:hAnsi="Arial"/>
          <w:sz w:val="20"/>
        </w:rPr>
        <w:t xml:space="preserve">, es un grupo de empresas con presencia global que desde hace más de 60 años ofrece soluciones individuales y completas en el área del procesamiento y el acabado del vidrio plano. Entre sus actividades empresariales se incluye el desarrollo de maquinaria, soluciones de automatización y servicios. En 2022, el Grupo, que cuenta con 1200 empleados en más de 20 sucursales, alcanzó un volumen total de ventas de alrededor de 240 millones de euros, con una cuota de exportación de más del 90 %. </w:t>
      </w:r>
      <w:proofErr w:type="spellStart"/>
      <w:r>
        <w:rPr>
          <w:rFonts w:ascii="Arial" w:hAnsi="Arial"/>
          <w:sz w:val="20"/>
        </w:rPr>
        <w:t>LiSEC</w:t>
      </w:r>
      <w:proofErr w:type="spellEnd"/>
      <w:r>
        <w:rPr>
          <w:rFonts w:ascii="Arial" w:hAnsi="Arial"/>
          <w:sz w:val="20"/>
        </w:rPr>
        <w:t xml:space="preserve"> desarrolla y fabrica sistemas de corte y clasificación de vidrio, componentes sueltos y líneas de producción completas para la fabricación de vidrio aislante y vidrio laminado, así como máquinas para el procesamiento de bordes y sistemas de endurecimiento. En virtud de su fiable tecnología y sus soluciones de automatización inteligentes, </w:t>
      </w:r>
      <w:proofErr w:type="spellStart"/>
      <w:r>
        <w:rPr>
          <w:rFonts w:ascii="Arial" w:hAnsi="Arial"/>
          <w:sz w:val="20"/>
        </w:rPr>
        <w:t>LiSEC</w:t>
      </w:r>
      <w:proofErr w:type="spellEnd"/>
      <w:r>
        <w:rPr>
          <w:rFonts w:ascii="Arial" w:hAnsi="Arial"/>
          <w:sz w:val="20"/>
        </w:rPr>
        <w:t xml:space="preserve"> establece las normas en términos de calidad y tecnología, y contribuye de manera considerable al éxito de sus clientes.</w:t>
      </w:r>
    </w:p>
    <w:bookmarkEnd w:id="4"/>
    <w:p w14:paraId="18E921D2" w14:textId="77777777" w:rsidR="00D013F9" w:rsidRPr="00C97928" w:rsidRDefault="00D013F9" w:rsidP="00D013F9">
      <w:pPr>
        <w:spacing w:after="0" w:line="240" w:lineRule="auto"/>
        <w:rPr>
          <w:rFonts w:ascii="Arial" w:hAnsi="Arial" w:cs="Arial"/>
          <w:sz w:val="20"/>
          <w:szCs w:val="20"/>
        </w:rPr>
      </w:pPr>
    </w:p>
    <w:p w14:paraId="42C330C8" w14:textId="77777777"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r>
        <w:rPr>
          <w:rFonts w:ascii="Arial" w:hAnsi="Arial"/>
          <w:b/>
          <w:color w:val="000000"/>
          <w:sz w:val="20"/>
        </w:rPr>
        <w:t>Más información:</w:t>
      </w:r>
      <w:r>
        <w:rPr>
          <w:rFonts w:ascii="Arial" w:hAnsi="Arial"/>
          <w:color w:val="000000"/>
          <w:sz w:val="20"/>
        </w:rPr>
        <w:br/>
      </w:r>
      <w:r>
        <w:rPr>
          <w:rFonts w:ascii="Arial" w:hAnsi="Arial"/>
          <w:sz w:val="20"/>
        </w:rPr>
        <w:t>Claudia GUSCHLBAUER</w:t>
      </w:r>
    </w:p>
    <w:p w14:paraId="55334B09" w14:textId="76E11702"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r>
        <w:rPr>
          <w:rFonts w:ascii="Arial" w:hAnsi="Arial"/>
          <w:sz w:val="20"/>
        </w:rPr>
        <w:t>Directora de Marketing y Comunicación empresarial</w:t>
      </w:r>
    </w:p>
    <w:p w14:paraId="2BD28511" w14:textId="77777777"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p>
    <w:p w14:paraId="4647AD20" w14:textId="77777777" w:rsidR="00D013F9" w:rsidRPr="00DD6600" w:rsidRDefault="00D013F9" w:rsidP="00D013F9">
      <w:pPr>
        <w:spacing w:after="0" w:line="240" w:lineRule="auto"/>
        <w:rPr>
          <w:rFonts w:ascii="Arial" w:hAnsi="Arial" w:cs="Arial"/>
        </w:rPr>
      </w:pPr>
      <w:proofErr w:type="spellStart"/>
      <w:r>
        <w:rPr>
          <w:rFonts w:ascii="Arial" w:hAnsi="Arial"/>
          <w:sz w:val="20"/>
        </w:rPr>
        <w:t>LiSEC</w:t>
      </w:r>
      <w:proofErr w:type="spellEnd"/>
      <w:r>
        <w:rPr>
          <w:rFonts w:ascii="Arial" w:hAnsi="Arial"/>
          <w:sz w:val="20"/>
        </w:rPr>
        <w:t xml:space="preserve"> Austria GmbH</w:t>
      </w:r>
      <w:r>
        <w:rPr>
          <w:rFonts w:ascii="Arial" w:hAnsi="Arial"/>
          <w:sz w:val="20"/>
        </w:rPr>
        <w:br/>
        <w:t>Peter-Lisec-</w:t>
      </w:r>
      <w:proofErr w:type="spellStart"/>
      <w:r>
        <w:rPr>
          <w:rFonts w:ascii="Arial" w:hAnsi="Arial"/>
          <w:sz w:val="20"/>
        </w:rPr>
        <w:t>Str</w:t>
      </w:r>
      <w:proofErr w:type="spellEnd"/>
      <w:r>
        <w:rPr>
          <w:rFonts w:ascii="Arial" w:hAnsi="Arial"/>
          <w:sz w:val="20"/>
        </w:rPr>
        <w:t>. 1 – 3353 Seitenstetten, Austria</w:t>
      </w:r>
      <w:r>
        <w:rPr>
          <w:rFonts w:ascii="Arial" w:hAnsi="Arial"/>
          <w:sz w:val="20"/>
        </w:rPr>
        <w:br/>
        <w:t>Tel.: +43 7477 405-1115</w:t>
      </w:r>
      <w:r>
        <w:rPr>
          <w:rFonts w:ascii="Arial" w:hAnsi="Arial"/>
          <w:sz w:val="20"/>
        </w:rPr>
        <w:br/>
        <w:t>Móvil: +43 660 871 58 03</w:t>
      </w:r>
      <w:r>
        <w:rPr>
          <w:rFonts w:ascii="Arial" w:hAnsi="Arial"/>
          <w:sz w:val="20"/>
        </w:rPr>
        <w:br/>
        <w:t xml:space="preserve">Correo electrónico: </w:t>
      </w:r>
      <w:hyperlink r:id="rId20" w:history="1">
        <w:r>
          <w:rPr>
            <w:rStyle w:val="Hyperlink"/>
            <w:rFonts w:ascii="Arial" w:hAnsi="Arial"/>
            <w:sz w:val="20"/>
          </w:rPr>
          <w:t>claudia.guschlbauer@lisec.com</w:t>
        </w:r>
      </w:hyperlink>
      <w:r>
        <w:rPr>
          <w:rFonts w:ascii="Arial" w:hAnsi="Arial"/>
          <w:sz w:val="20"/>
        </w:rPr>
        <w:t xml:space="preserve"> – </w:t>
      </w:r>
      <w:hyperlink r:id="rId21" w:history="1">
        <w:r>
          <w:rPr>
            <w:rStyle w:val="Hyperlink"/>
            <w:rFonts w:ascii="Arial" w:hAnsi="Arial"/>
            <w:sz w:val="20"/>
          </w:rPr>
          <w:t>www.lisec.com</w:t>
        </w:r>
      </w:hyperlink>
    </w:p>
    <w:p w14:paraId="1825A809" w14:textId="77777777" w:rsidR="00D013F9" w:rsidRPr="006932A4" w:rsidRDefault="00D013F9" w:rsidP="006932A4"/>
    <w:sectPr w:rsidR="00D013F9" w:rsidRPr="006932A4">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A84F1A" w:rsidRDefault="006932A4" w:rsidP="006932A4">
    <w:pPr>
      <w:pStyle w:val="Kopfzeile"/>
      <w:rPr>
        <w:b/>
        <w:sz w:val="17"/>
        <w:szCs w:val="17"/>
      </w:rPr>
    </w:pPr>
  </w:p>
  <w:p w14:paraId="6177C57A" w14:textId="77777777" w:rsidR="006932A4" w:rsidRPr="00A84F1A" w:rsidRDefault="006932A4" w:rsidP="006932A4">
    <w:pPr>
      <w:pStyle w:val="Kopfzeile"/>
      <w:rPr>
        <w:b/>
        <w:sz w:val="17"/>
        <w:szCs w:val="17"/>
      </w:rPr>
    </w:pPr>
  </w:p>
  <w:p w14:paraId="4ADFC824" w14:textId="77777777" w:rsidR="006932A4" w:rsidRPr="00A84F1A" w:rsidRDefault="006932A4" w:rsidP="006932A4">
    <w:pPr>
      <w:pStyle w:val="Kopfzeile"/>
      <w:rPr>
        <w:b/>
        <w:sz w:val="16"/>
        <w:szCs w:val="16"/>
      </w:rPr>
    </w:pPr>
  </w:p>
  <w:p w14:paraId="060DD95C" w14:textId="77777777" w:rsidR="006932A4" w:rsidRPr="00FC0621" w:rsidRDefault="006932A4" w:rsidP="006932A4">
    <w:pPr>
      <w:pStyle w:val="Kopfzeile"/>
      <w:rPr>
        <w:b/>
      </w:rPr>
    </w:pPr>
  </w:p>
  <w:p w14:paraId="5C584E73" w14:textId="77777777" w:rsidR="006932A4" w:rsidRPr="00FC0621" w:rsidRDefault="006932A4" w:rsidP="006932A4">
    <w:pPr>
      <w:pStyle w:val="Kopfzeile"/>
      <w:rPr>
        <w:b/>
      </w:rPr>
    </w:pPr>
  </w:p>
  <w:p w14:paraId="42C67C2D" w14:textId="77777777" w:rsidR="006932A4" w:rsidRPr="006C55E8" w:rsidRDefault="006932A4" w:rsidP="006932A4">
    <w:pPr>
      <w:pStyle w:val="Kopfzeile"/>
      <w:rPr>
        <w:rFonts w:ascii="Arial" w:hAnsi="Arial" w:cs="Arial"/>
        <w:b/>
      </w:rPr>
    </w:pPr>
    <w:r>
      <w:rPr>
        <w:rFonts w:ascii="Arial" w:hAnsi="Arial"/>
        <w:b/>
        <w:noProof/>
      </w:rPr>
      <w:drawing>
        <wp:anchor distT="0" distB="0" distL="114300" distR="114300" simplePos="0" relativeHeight="251659264" behindDoc="1" locked="0" layoutInCell="1" allowOverlap="1" wp14:anchorId="4538A93D" wp14:editId="29C1609A">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5396A17D" w14:textId="77777777" w:rsidR="006932A4" w:rsidRPr="00E27439" w:rsidRDefault="006932A4" w:rsidP="006932A4">
    <w:pPr>
      <w:pStyle w:val="Kopfzeile"/>
      <w:rPr>
        <w:lang w:val="it-IT"/>
      </w:rPr>
    </w:pPr>
  </w:p>
  <w:p w14:paraId="54BE1BC4" w14:textId="77777777" w:rsidR="006932A4" w:rsidRPr="00E27439" w:rsidRDefault="006932A4" w:rsidP="006932A4">
    <w:pPr>
      <w:pStyle w:val="Kopfzeile"/>
      <w:rPr>
        <w:lang w:val="it-IT"/>
      </w:rPr>
    </w:pPr>
  </w:p>
  <w:p w14:paraId="093CEC86" w14:textId="77777777" w:rsidR="00461B34" w:rsidRPr="006932A4" w:rsidRDefault="00461B34" w:rsidP="006932A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9BE"/>
    <w:rsid w:val="000148B0"/>
    <w:rsid w:val="00016F13"/>
    <w:rsid w:val="00033B6D"/>
    <w:rsid w:val="00036A18"/>
    <w:rsid w:val="00044D82"/>
    <w:rsid w:val="000520A5"/>
    <w:rsid w:val="00054965"/>
    <w:rsid w:val="000637EE"/>
    <w:rsid w:val="00067852"/>
    <w:rsid w:val="00067F46"/>
    <w:rsid w:val="000705DB"/>
    <w:rsid w:val="00074E75"/>
    <w:rsid w:val="00076437"/>
    <w:rsid w:val="00080D9F"/>
    <w:rsid w:val="00082E92"/>
    <w:rsid w:val="000866C6"/>
    <w:rsid w:val="00087E15"/>
    <w:rsid w:val="00090DC4"/>
    <w:rsid w:val="00091C73"/>
    <w:rsid w:val="000932C6"/>
    <w:rsid w:val="00094EA1"/>
    <w:rsid w:val="000A1AF9"/>
    <w:rsid w:val="000D4BD4"/>
    <w:rsid w:val="000E0296"/>
    <w:rsid w:val="000E074C"/>
    <w:rsid w:val="000E564A"/>
    <w:rsid w:val="000E6059"/>
    <w:rsid w:val="000F7DD3"/>
    <w:rsid w:val="00102881"/>
    <w:rsid w:val="00105BE9"/>
    <w:rsid w:val="001067A8"/>
    <w:rsid w:val="00107149"/>
    <w:rsid w:val="001120A8"/>
    <w:rsid w:val="001130FC"/>
    <w:rsid w:val="00120F6F"/>
    <w:rsid w:val="001239B3"/>
    <w:rsid w:val="001269AC"/>
    <w:rsid w:val="001345D3"/>
    <w:rsid w:val="001404A7"/>
    <w:rsid w:val="00152295"/>
    <w:rsid w:val="001559BB"/>
    <w:rsid w:val="00163D2C"/>
    <w:rsid w:val="0016453C"/>
    <w:rsid w:val="00165A9F"/>
    <w:rsid w:val="0017031A"/>
    <w:rsid w:val="001756C1"/>
    <w:rsid w:val="00193083"/>
    <w:rsid w:val="001C5B88"/>
    <w:rsid w:val="001D46CE"/>
    <w:rsid w:val="001D5A95"/>
    <w:rsid w:val="001D635A"/>
    <w:rsid w:val="001D786B"/>
    <w:rsid w:val="001E70BD"/>
    <w:rsid w:val="001F2991"/>
    <w:rsid w:val="001F2EA1"/>
    <w:rsid w:val="001F419C"/>
    <w:rsid w:val="00200626"/>
    <w:rsid w:val="00207E6F"/>
    <w:rsid w:val="00211BC8"/>
    <w:rsid w:val="00212D93"/>
    <w:rsid w:val="0022441C"/>
    <w:rsid w:val="002256E5"/>
    <w:rsid w:val="00227A57"/>
    <w:rsid w:val="002359BF"/>
    <w:rsid w:val="00246A37"/>
    <w:rsid w:val="00256E16"/>
    <w:rsid w:val="00264A2C"/>
    <w:rsid w:val="0028017A"/>
    <w:rsid w:val="00283E6F"/>
    <w:rsid w:val="002A004B"/>
    <w:rsid w:val="002A0277"/>
    <w:rsid w:val="002A7919"/>
    <w:rsid w:val="002B3315"/>
    <w:rsid w:val="002B395C"/>
    <w:rsid w:val="002B411D"/>
    <w:rsid w:val="002B6E3E"/>
    <w:rsid w:val="002C11FE"/>
    <w:rsid w:val="002C2080"/>
    <w:rsid w:val="002C4FF7"/>
    <w:rsid w:val="002D1BC6"/>
    <w:rsid w:val="002D3618"/>
    <w:rsid w:val="002D48AA"/>
    <w:rsid w:val="002E3C73"/>
    <w:rsid w:val="002F22EA"/>
    <w:rsid w:val="002F35C5"/>
    <w:rsid w:val="002F76D9"/>
    <w:rsid w:val="003019B3"/>
    <w:rsid w:val="00303CAF"/>
    <w:rsid w:val="00310671"/>
    <w:rsid w:val="003135E8"/>
    <w:rsid w:val="003143A3"/>
    <w:rsid w:val="0032517D"/>
    <w:rsid w:val="003267EB"/>
    <w:rsid w:val="00331323"/>
    <w:rsid w:val="00342B7A"/>
    <w:rsid w:val="003443CE"/>
    <w:rsid w:val="0034487D"/>
    <w:rsid w:val="00361CA9"/>
    <w:rsid w:val="00361DD1"/>
    <w:rsid w:val="003624E8"/>
    <w:rsid w:val="00383547"/>
    <w:rsid w:val="003856B1"/>
    <w:rsid w:val="00386458"/>
    <w:rsid w:val="00392AB9"/>
    <w:rsid w:val="00392FE5"/>
    <w:rsid w:val="0039765D"/>
    <w:rsid w:val="003A2C6D"/>
    <w:rsid w:val="003A3698"/>
    <w:rsid w:val="003A56D1"/>
    <w:rsid w:val="003B1DFD"/>
    <w:rsid w:val="003B539D"/>
    <w:rsid w:val="003C3FE6"/>
    <w:rsid w:val="003D0625"/>
    <w:rsid w:val="003D7119"/>
    <w:rsid w:val="003E0BD3"/>
    <w:rsid w:val="003E3339"/>
    <w:rsid w:val="00400E96"/>
    <w:rsid w:val="004065F2"/>
    <w:rsid w:val="00406672"/>
    <w:rsid w:val="0042061E"/>
    <w:rsid w:val="00422624"/>
    <w:rsid w:val="00423B4C"/>
    <w:rsid w:val="004334E0"/>
    <w:rsid w:val="00437536"/>
    <w:rsid w:val="00437595"/>
    <w:rsid w:val="0044038D"/>
    <w:rsid w:val="00447203"/>
    <w:rsid w:val="0045078C"/>
    <w:rsid w:val="00461B34"/>
    <w:rsid w:val="00463D8C"/>
    <w:rsid w:val="00467508"/>
    <w:rsid w:val="004735BD"/>
    <w:rsid w:val="00481397"/>
    <w:rsid w:val="00490D43"/>
    <w:rsid w:val="00492C0C"/>
    <w:rsid w:val="004C2DC5"/>
    <w:rsid w:val="004C35CD"/>
    <w:rsid w:val="004D7F3D"/>
    <w:rsid w:val="004E1701"/>
    <w:rsid w:val="004F198C"/>
    <w:rsid w:val="004F3ED0"/>
    <w:rsid w:val="004F4580"/>
    <w:rsid w:val="004F4C2F"/>
    <w:rsid w:val="004F6508"/>
    <w:rsid w:val="005026E8"/>
    <w:rsid w:val="00506039"/>
    <w:rsid w:val="0050655D"/>
    <w:rsid w:val="00506734"/>
    <w:rsid w:val="005101F7"/>
    <w:rsid w:val="00511220"/>
    <w:rsid w:val="00513F88"/>
    <w:rsid w:val="00527141"/>
    <w:rsid w:val="0053238B"/>
    <w:rsid w:val="00532FFD"/>
    <w:rsid w:val="0054013F"/>
    <w:rsid w:val="005437F5"/>
    <w:rsid w:val="0055012E"/>
    <w:rsid w:val="005514E9"/>
    <w:rsid w:val="00557126"/>
    <w:rsid w:val="00572956"/>
    <w:rsid w:val="00577B4A"/>
    <w:rsid w:val="0058159E"/>
    <w:rsid w:val="00581FF6"/>
    <w:rsid w:val="00592741"/>
    <w:rsid w:val="005A79C7"/>
    <w:rsid w:val="005B298A"/>
    <w:rsid w:val="005C0FCB"/>
    <w:rsid w:val="005E3A2D"/>
    <w:rsid w:val="005E44D7"/>
    <w:rsid w:val="005F39E7"/>
    <w:rsid w:val="005F4DEC"/>
    <w:rsid w:val="00610188"/>
    <w:rsid w:val="00612282"/>
    <w:rsid w:val="006162B2"/>
    <w:rsid w:val="00625169"/>
    <w:rsid w:val="00636D04"/>
    <w:rsid w:val="00643121"/>
    <w:rsid w:val="00650F8C"/>
    <w:rsid w:val="00651DEB"/>
    <w:rsid w:val="00654250"/>
    <w:rsid w:val="00661610"/>
    <w:rsid w:val="006629CC"/>
    <w:rsid w:val="00670242"/>
    <w:rsid w:val="006761B1"/>
    <w:rsid w:val="00685F10"/>
    <w:rsid w:val="006932A4"/>
    <w:rsid w:val="006944F5"/>
    <w:rsid w:val="006A2F2B"/>
    <w:rsid w:val="006A3C7B"/>
    <w:rsid w:val="006A6432"/>
    <w:rsid w:val="006B3C93"/>
    <w:rsid w:val="006B45AA"/>
    <w:rsid w:val="006B7523"/>
    <w:rsid w:val="006C13CF"/>
    <w:rsid w:val="006D3508"/>
    <w:rsid w:val="006D782A"/>
    <w:rsid w:val="006E037C"/>
    <w:rsid w:val="006E1D1E"/>
    <w:rsid w:val="006E3A62"/>
    <w:rsid w:val="006F052D"/>
    <w:rsid w:val="006F4611"/>
    <w:rsid w:val="00700946"/>
    <w:rsid w:val="00706E0A"/>
    <w:rsid w:val="00707834"/>
    <w:rsid w:val="0070797A"/>
    <w:rsid w:val="007114BE"/>
    <w:rsid w:val="00713E23"/>
    <w:rsid w:val="00713E51"/>
    <w:rsid w:val="007154DC"/>
    <w:rsid w:val="00724CEC"/>
    <w:rsid w:val="0072536D"/>
    <w:rsid w:val="0073329D"/>
    <w:rsid w:val="00737422"/>
    <w:rsid w:val="00747918"/>
    <w:rsid w:val="007506B6"/>
    <w:rsid w:val="00755009"/>
    <w:rsid w:val="007555B7"/>
    <w:rsid w:val="007611CC"/>
    <w:rsid w:val="00764D37"/>
    <w:rsid w:val="00771D96"/>
    <w:rsid w:val="00773B2B"/>
    <w:rsid w:val="00773FD8"/>
    <w:rsid w:val="00777B66"/>
    <w:rsid w:val="00780686"/>
    <w:rsid w:val="00780A88"/>
    <w:rsid w:val="00787337"/>
    <w:rsid w:val="00787984"/>
    <w:rsid w:val="00791DBE"/>
    <w:rsid w:val="007951DB"/>
    <w:rsid w:val="007A027C"/>
    <w:rsid w:val="007A1165"/>
    <w:rsid w:val="007B2378"/>
    <w:rsid w:val="007C2D23"/>
    <w:rsid w:val="007C6FC3"/>
    <w:rsid w:val="007D7EFE"/>
    <w:rsid w:val="007E1118"/>
    <w:rsid w:val="008017D3"/>
    <w:rsid w:val="00804FAD"/>
    <w:rsid w:val="00805EFD"/>
    <w:rsid w:val="00815CE0"/>
    <w:rsid w:val="008207BB"/>
    <w:rsid w:val="00826E97"/>
    <w:rsid w:val="008279C4"/>
    <w:rsid w:val="00835A05"/>
    <w:rsid w:val="00842111"/>
    <w:rsid w:val="00842636"/>
    <w:rsid w:val="0084623F"/>
    <w:rsid w:val="0086758B"/>
    <w:rsid w:val="008941EC"/>
    <w:rsid w:val="00895754"/>
    <w:rsid w:val="008965E0"/>
    <w:rsid w:val="008A015E"/>
    <w:rsid w:val="008A1E9D"/>
    <w:rsid w:val="008A66A5"/>
    <w:rsid w:val="008B0BA2"/>
    <w:rsid w:val="008B2775"/>
    <w:rsid w:val="008D1336"/>
    <w:rsid w:val="008E30E7"/>
    <w:rsid w:val="009004B9"/>
    <w:rsid w:val="009031B3"/>
    <w:rsid w:val="0090671C"/>
    <w:rsid w:val="009143D3"/>
    <w:rsid w:val="00920B28"/>
    <w:rsid w:val="009328EC"/>
    <w:rsid w:val="00932CAF"/>
    <w:rsid w:val="00933A8D"/>
    <w:rsid w:val="00937375"/>
    <w:rsid w:val="009377DC"/>
    <w:rsid w:val="00943AAE"/>
    <w:rsid w:val="009619F0"/>
    <w:rsid w:val="00963272"/>
    <w:rsid w:val="00964A35"/>
    <w:rsid w:val="00970410"/>
    <w:rsid w:val="00971192"/>
    <w:rsid w:val="009717B8"/>
    <w:rsid w:val="00977116"/>
    <w:rsid w:val="009850EE"/>
    <w:rsid w:val="00991AA7"/>
    <w:rsid w:val="009949C2"/>
    <w:rsid w:val="009A05D5"/>
    <w:rsid w:val="009A747B"/>
    <w:rsid w:val="009B29E3"/>
    <w:rsid w:val="009D07EC"/>
    <w:rsid w:val="009F038A"/>
    <w:rsid w:val="009F6A32"/>
    <w:rsid w:val="009F7357"/>
    <w:rsid w:val="00A05E0F"/>
    <w:rsid w:val="00A10120"/>
    <w:rsid w:val="00A16C5E"/>
    <w:rsid w:val="00A271C8"/>
    <w:rsid w:val="00A41273"/>
    <w:rsid w:val="00A431C8"/>
    <w:rsid w:val="00A65DF5"/>
    <w:rsid w:val="00A70F28"/>
    <w:rsid w:val="00A76123"/>
    <w:rsid w:val="00A82E95"/>
    <w:rsid w:val="00A832E3"/>
    <w:rsid w:val="00A91C3A"/>
    <w:rsid w:val="00A965FD"/>
    <w:rsid w:val="00AB2050"/>
    <w:rsid w:val="00AB32D8"/>
    <w:rsid w:val="00AB7DBE"/>
    <w:rsid w:val="00AC4F3B"/>
    <w:rsid w:val="00AC6942"/>
    <w:rsid w:val="00AD5371"/>
    <w:rsid w:val="00AD7E5C"/>
    <w:rsid w:val="00AE66E6"/>
    <w:rsid w:val="00AF0666"/>
    <w:rsid w:val="00AF20C0"/>
    <w:rsid w:val="00AF25E0"/>
    <w:rsid w:val="00AF269E"/>
    <w:rsid w:val="00AF3460"/>
    <w:rsid w:val="00AF347F"/>
    <w:rsid w:val="00AF5164"/>
    <w:rsid w:val="00AF6BC1"/>
    <w:rsid w:val="00B02D8B"/>
    <w:rsid w:val="00B050A1"/>
    <w:rsid w:val="00B15A3A"/>
    <w:rsid w:val="00B31685"/>
    <w:rsid w:val="00B40A5C"/>
    <w:rsid w:val="00B415A8"/>
    <w:rsid w:val="00B42F05"/>
    <w:rsid w:val="00B44521"/>
    <w:rsid w:val="00B47F7A"/>
    <w:rsid w:val="00B701B4"/>
    <w:rsid w:val="00B74B76"/>
    <w:rsid w:val="00B8447E"/>
    <w:rsid w:val="00B96B85"/>
    <w:rsid w:val="00BB04FC"/>
    <w:rsid w:val="00BC3FBF"/>
    <w:rsid w:val="00BC561A"/>
    <w:rsid w:val="00BC5814"/>
    <w:rsid w:val="00BC6AEF"/>
    <w:rsid w:val="00BC73EE"/>
    <w:rsid w:val="00BD06D5"/>
    <w:rsid w:val="00BD0827"/>
    <w:rsid w:val="00BD1594"/>
    <w:rsid w:val="00BD3E0F"/>
    <w:rsid w:val="00BD4F91"/>
    <w:rsid w:val="00BD65D9"/>
    <w:rsid w:val="00BD682E"/>
    <w:rsid w:val="00BE3444"/>
    <w:rsid w:val="00BE6269"/>
    <w:rsid w:val="00BE7B1D"/>
    <w:rsid w:val="00C0201F"/>
    <w:rsid w:val="00C122B6"/>
    <w:rsid w:val="00C1383F"/>
    <w:rsid w:val="00C14416"/>
    <w:rsid w:val="00C20F21"/>
    <w:rsid w:val="00C5604B"/>
    <w:rsid w:val="00C61506"/>
    <w:rsid w:val="00C64435"/>
    <w:rsid w:val="00C72D76"/>
    <w:rsid w:val="00C90183"/>
    <w:rsid w:val="00C914EB"/>
    <w:rsid w:val="00C96709"/>
    <w:rsid w:val="00C96734"/>
    <w:rsid w:val="00C96AB9"/>
    <w:rsid w:val="00CA415F"/>
    <w:rsid w:val="00CA66A4"/>
    <w:rsid w:val="00CA7A85"/>
    <w:rsid w:val="00CC583E"/>
    <w:rsid w:val="00CC663A"/>
    <w:rsid w:val="00CC71E2"/>
    <w:rsid w:val="00CD2380"/>
    <w:rsid w:val="00CE2C22"/>
    <w:rsid w:val="00CF38AE"/>
    <w:rsid w:val="00D013F9"/>
    <w:rsid w:val="00D0301A"/>
    <w:rsid w:val="00D1288C"/>
    <w:rsid w:val="00D15A88"/>
    <w:rsid w:val="00D15D55"/>
    <w:rsid w:val="00D23BF4"/>
    <w:rsid w:val="00D3205F"/>
    <w:rsid w:val="00D3287A"/>
    <w:rsid w:val="00D41481"/>
    <w:rsid w:val="00D5396E"/>
    <w:rsid w:val="00D54395"/>
    <w:rsid w:val="00D57240"/>
    <w:rsid w:val="00D6532B"/>
    <w:rsid w:val="00D7383F"/>
    <w:rsid w:val="00DA0550"/>
    <w:rsid w:val="00DB5739"/>
    <w:rsid w:val="00DC3674"/>
    <w:rsid w:val="00DC65F2"/>
    <w:rsid w:val="00DD6600"/>
    <w:rsid w:val="00DF109F"/>
    <w:rsid w:val="00DF4003"/>
    <w:rsid w:val="00DF4FC7"/>
    <w:rsid w:val="00E0022A"/>
    <w:rsid w:val="00E17D9F"/>
    <w:rsid w:val="00E205E8"/>
    <w:rsid w:val="00E27439"/>
    <w:rsid w:val="00E33800"/>
    <w:rsid w:val="00E50739"/>
    <w:rsid w:val="00E50B9A"/>
    <w:rsid w:val="00E533D1"/>
    <w:rsid w:val="00E83CD7"/>
    <w:rsid w:val="00E85642"/>
    <w:rsid w:val="00EC14F4"/>
    <w:rsid w:val="00ED6E29"/>
    <w:rsid w:val="00ED7440"/>
    <w:rsid w:val="00EE337C"/>
    <w:rsid w:val="00EE4064"/>
    <w:rsid w:val="00EF4868"/>
    <w:rsid w:val="00EF5199"/>
    <w:rsid w:val="00EF598B"/>
    <w:rsid w:val="00F00BE2"/>
    <w:rsid w:val="00F05A81"/>
    <w:rsid w:val="00F107DE"/>
    <w:rsid w:val="00F124C2"/>
    <w:rsid w:val="00F13690"/>
    <w:rsid w:val="00F16364"/>
    <w:rsid w:val="00F3709C"/>
    <w:rsid w:val="00F43599"/>
    <w:rsid w:val="00F5031A"/>
    <w:rsid w:val="00F514D7"/>
    <w:rsid w:val="00F573F9"/>
    <w:rsid w:val="00F623B1"/>
    <w:rsid w:val="00F64D50"/>
    <w:rsid w:val="00F7151E"/>
    <w:rsid w:val="00F87ECB"/>
    <w:rsid w:val="00F962B4"/>
    <w:rsid w:val="00FA7962"/>
    <w:rsid w:val="00FB2973"/>
    <w:rsid w:val="00FC3EBB"/>
    <w:rsid w:val="00FC5514"/>
    <w:rsid w:val="00FD028D"/>
    <w:rsid w:val="00FD204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32A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Absatz-Standardschriftart"/>
    <w:rsid w:val="008A1E9D"/>
    <w:rPr>
      <w:rFonts w:ascii="Segoe UI" w:hAnsi="Segoe UI" w:cs="Segoe UI" w:hint="default"/>
      <w:color w:val="374151"/>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isec.com/solutions/individual-machines/detail/thermoplastic-spacer/tpa" TargetMode="Externa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hyperlink" Target="http://www.lisec.com/?utm_source=Press-Release&amp;utm_medium=Word-PDF&amp;utm_campaign=DE"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mailto:claudia.guschlbauer@lisec.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yperlink" Target="https://www.lisec.com/solutions/individual-machines/detail/sealing/cleanseal-vfl-1f"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s://www.lisec.com/solutions/individual-machines/detail/pressing/agp-a" TargetMode="External"/><Relationship Id="rId14" Type="http://schemas.openxmlformats.org/officeDocument/2006/relationships/image" Target="media/image4.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1422</Words>
  <Characters>8965</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23</cp:revision>
  <cp:lastPrinted>2021-09-28T11:55:00Z</cp:lastPrinted>
  <dcterms:created xsi:type="dcterms:W3CDTF">2023-08-31T11:42:00Z</dcterms:created>
  <dcterms:modified xsi:type="dcterms:W3CDTF">2023-10-12T13:00:00Z</dcterms:modified>
</cp:coreProperties>
</file>