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74051C" w14:textId="46D6D897" w:rsidR="006932A4" w:rsidRDefault="006932A4" w:rsidP="006629CC">
      <w:pPr>
        <w:rPr>
          <w:rFonts w:ascii="Arial" w:hAnsi="Arial"/>
        </w:rPr>
      </w:pPr>
      <w:bookmarkStart w:id="0" w:name="_Hlk109200422"/>
      <w:bookmarkStart w:id="1" w:name="_Hlk17201346"/>
      <w:bookmarkEnd w:id="0"/>
      <w:r>
        <w:rPr>
          <w:rFonts w:ascii="Arial" w:hAnsi="Arial"/>
        </w:rPr>
        <w:t xml:space="preserve">Amstetten </w:t>
      </w:r>
      <w:proofErr w:type="gramStart"/>
      <w:r>
        <w:rPr>
          <w:rFonts w:ascii="Arial" w:hAnsi="Arial"/>
        </w:rPr>
        <w:t xml:space="preserve">–  </w:t>
      </w:r>
      <w:r w:rsidR="00D86C3D">
        <w:rPr>
          <w:rFonts w:ascii="Arial" w:hAnsi="Arial"/>
        </w:rPr>
        <w:t>13.10.2023</w:t>
      </w:r>
      <w:proofErr w:type="gramEnd"/>
    </w:p>
    <w:p w14:paraId="7D7B0003" w14:textId="77777777" w:rsidR="006629CC" w:rsidRPr="006629CC" w:rsidRDefault="006629CC" w:rsidP="006629CC">
      <w:pPr>
        <w:rPr>
          <w:rFonts w:ascii="Arial" w:hAnsi="Arial" w:cs="Arial"/>
        </w:rPr>
      </w:pPr>
    </w:p>
    <w:bookmarkEnd w:id="1"/>
    <w:p w14:paraId="6F47B650" w14:textId="1BA0F15B" w:rsidR="008A1E9D" w:rsidRPr="008A015E" w:rsidRDefault="00506039" w:rsidP="008A1E9D">
      <w:pPr>
        <w:jc w:val="both"/>
        <w:rPr>
          <w:rStyle w:val="cf01"/>
          <w:rFonts w:ascii="Arial" w:hAnsi="Arial"/>
          <w:b/>
          <w:sz w:val="32"/>
        </w:rPr>
      </w:pPr>
      <w:proofErr w:type="spellStart"/>
      <w:r>
        <w:rPr>
          <w:rStyle w:val="cf01"/>
          <w:rFonts w:ascii="Arial" w:hAnsi="Arial"/>
          <w:b/>
          <w:sz w:val="32"/>
        </w:rPr>
        <w:t>Glasgruppen</w:t>
      </w:r>
      <w:proofErr w:type="spellEnd"/>
      <w:r>
        <w:rPr>
          <w:rStyle w:val="cf01"/>
          <w:rFonts w:ascii="Arial" w:hAnsi="Arial"/>
          <w:b/>
          <w:sz w:val="32"/>
        </w:rPr>
        <w:t xml:space="preserve">/Martin G Anderson : Précurseur en termes de durabilité dans l’industrie du verre, l’entreprise investit dans la ligne TPA de </w:t>
      </w:r>
      <w:proofErr w:type="spellStart"/>
      <w:r>
        <w:rPr>
          <w:rStyle w:val="cf01"/>
          <w:rFonts w:ascii="Arial" w:hAnsi="Arial"/>
          <w:b/>
          <w:sz w:val="32"/>
        </w:rPr>
        <w:t>LiSEC</w:t>
      </w:r>
      <w:proofErr w:type="spellEnd"/>
    </w:p>
    <w:p w14:paraId="0ACE6B66" w14:textId="77777777" w:rsidR="00932CAF" w:rsidRDefault="00932CAF" w:rsidP="00506039">
      <w:pPr>
        <w:jc w:val="both"/>
        <w:rPr>
          <w:rFonts w:ascii="Arial" w:hAnsi="Arial"/>
        </w:rPr>
      </w:pPr>
    </w:p>
    <w:p w14:paraId="4BCAD6A0" w14:textId="093D2C05" w:rsidR="00506039" w:rsidRDefault="00506039" w:rsidP="00506039">
      <w:pPr>
        <w:jc w:val="both"/>
        <w:rPr>
          <w:rFonts w:ascii="Arial" w:hAnsi="Arial"/>
        </w:rPr>
      </w:pPr>
      <w:r>
        <w:rPr>
          <w:rFonts w:ascii="Arial" w:hAnsi="Arial"/>
        </w:rPr>
        <w:t xml:space="preserve">L’entreprise suédoise </w:t>
      </w:r>
      <w:proofErr w:type="spellStart"/>
      <w:r>
        <w:rPr>
          <w:rFonts w:ascii="Arial" w:hAnsi="Arial"/>
        </w:rPr>
        <w:t>Glasgruppen</w:t>
      </w:r>
      <w:proofErr w:type="spellEnd"/>
      <w:r>
        <w:rPr>
          <w:rFonts w:ascii="Arial" w:hAnsi="Arial"/>
        </w:rPr>
        <w:t xml:space="preserve"> est présente depuis trois décennies dans l’industrie du verre. </w:t>
      </w:r>
      <w:proofErr w:type="spellStart"/>
      <w:r>
        <w:rPr>
          <w:rFonts w:ascii="Arial" w:hAnsi="Arial"/>
        </w:rPr>
        <w:t>Stina</w:t>
      </w:r>
      <w:proofErr w:type="spellEnd"/>
      <w:r>
        <w:rPr>
          <w:rFonts w:ascii="Arial" w:hAnsi="Arial"/>
        </w:rPr>
        <w:t xml:space="preserve"> </w:t>
      </w:r>
      <w:proofErr w:type="spellStart"/>
      <w:r>
        <w:rPr>
          <w:rFonts w:ascii="Arial" w:hAnsi="Arial"/>
        </w:rPr>
        <w:t>Wollenius</w:t>
      </w:r>
      <w:proofErr w:type="spellEnd"/>
      <w:r>
        <w:rPr>
          <w:rFonts w:ascii="Arial" w:hAnsi="Arial"/>
        </w:rPr>
        <w:t xml:space="preserve">, propriétaire et unique actionnaire de </w:t>
      </w:r>
      <w:proofErr w:type="spellStart"/>
      <w:r>
        <w:rPr>
          <w:rFonts w:ascii="Arial" w:hAnsi="Arial"/>
        </w:rPr>
        <w:t>Glasgruppen</w:t>
      </w:r>
      <w:proofErr w:type="spellEnd"/>
      <w:r>
        <w:rPr>
          <w:rFonts w:ascii="Arial" w:hAnsi="Arial"/>
        </w:rPr>
        <w:t xml:space="preserve"> de troisième génération, considère l’accent mis sur les relations clients intensives et l’exploitation durable comme la recette du succès - même à l’avenir. En raison du partenariat stratégique, positif et de longue durée avec </w:t>
      </w:r>
      <w:proofErr w:type="spellStart"/>
      <w:r>
        <w:rPr>
          <w:rFonts w:ascii="Arial" w:hAnsi="Arial"/>
        </w:rPr>
        <w:t>LiSEC</w:t>
      </w:r>
      <w:proofErr w:type="spellEnd"/>
      <w:r>
        <w:rPr>
          <w:rFonts w:ascii="Arial" w:hAnsi="Arial"/>
        </w:rPr>
        <w:t xml:space="preserve">, </w:t>
      </w:r>
      <w:proofErr w:type="spellStart"/>
      <w:r>
        <w:rPr>
          <w:rFonts w:ascii="Arial" w:hAnsi="Arial"/>
        </w:rPr>
        <w:t>Glasgruppen</w:t>
      </w:r>
      <w:proofErr w:type="spellEnd"/>
      <w:r>
        <w:rPr>
          <w:rFonts w:ascii="Arial" w:hAnsi="Arial"/>
        </w:rPr>
        <w:t xml:space="preserve"> a décidé d’investir dans une nouvelle ligne TPA </w:t>
      </w:r>
      <w:r>
        <w:rPr>
          <w:rFonts w:ascii="Arial" w:hAnsi="Arial"/>
          <w:i/>
        </w:rPr>
        <w:t xml:space="preserve">made in </w:t>
      </w:r>
      <w:proofErr w:type="spellStart"/>
      <w:r>
        <w:rPr>
          <w:rFonts w:ascii="Arial" w:hAnsi="Arial"/>
          <w:i/>
        </w:rPr>
        <w:t>Austria</w:t>
      </w:r>
      <w:proofErr w:type="spellEnd"/>
      <w:r>
        <w:rPr>
          <w:rFonts w:ascii="Arial" w:hAnsi="Arial"/>
        </w:rPr>
        <w:t>.</w:t>
      </w:r>
    </w:p>
    <w:p w14:paraId="39F3C310" w14:textId="77777777" w:rsidR="00527141" w:rsidRPr="00506039" w:rsidRDefault="00527141" w:rsidP="00506039">
      <w:pPr>
        <w:jc w:val="both"/>
        <w:rPr>
          <w:rFonts w:ascii="Arial" w:hAnsi="Arial"/>
        </w:rPr>
      </w:pPr>
    </w:p>
    <w:p w14:paraId="3F9892F0" w14:textId="77777777" w:rsidR="00506039" w:rsidRPr="00506039" w:rsidRDefault="00506039" w:rsidP="00506039">
      <w:pPr>
        <w:jc w:val="both"/>
        <w:rPr>
          <w:rFonts w:ascii="Arial" w:hAnsi="Arial"/>
          <w:b/>
          <w:bCs/>
        </w:rPr>
      </w:pPr>
      <w:r>
        <w:rPr>
          <w:rFonts w:ascii="Arial" w:hAnsi="Arial"/>
          <w:b/>
        </w:rPr>
        <w:t xml:space="preserve">En savoir plus sur </w:t>
      </w:r>
      <w:proofErr w:type="spellStart"/>
      <w:r>
        <w:rPr>
          <w:rFonts w:ascii="Arial" w:hAnsi="Arial"/>
          <w:b/>
        </w:rPr>
        <w:t>Glasgruppen</w:t>
      </w:r>
      <w:proofErr w:type="spellEnd"/>
    </w:p>
    <w:p w14:paraId="5B49E0B8" w14:textId="459768BA" w:rsidR="00506039" w:rsidRDefault="00506039" w:rsidP="00506039">
      <w:pPr>
        <w:jc w:val="both"/>
        <w:rPr>
          <w:rFonts w:ascii="Arial" w:hAnsi="Arial"/>
        </w:rPr>
      </w:pPr>
      <w:proofErr w:type="spellStart"/>
      <w:r>
        <w:rPr>
          <w:rFonts w:ascii="Arial" w:hAnsi="Arial"/>
        </w:rPr>
        <w:t>Glasgruppen</w:t>
      </w:r>
      <w:proofErr w:type="spellEnd"/>
      <w:r>
        <w:rPr>
          <w:rFonts w:ascii="Arial" w:hAnsi="Arial"/>
        </w:rPr>
        <w:t xml:space="preserve"> est une entreprise suédoise leader dans la transformation du verre. Elle est composée des entreprises familiales Martin G Anderson à Örebro, </w:t>
      </w:r>
      <w:proofErr w:type="spellStart"/>
      <w:r>
        <w:rPr>
          <w:rFonts w:ascii="Arial" w:hAnsi="Arial"/>
        </w:rPr>
        <w:t>Klaes</w:t>
      </w:r>
      <w:proofErr w:type="spellEnd"/>
      <w:r>
        <w:rPr>
          <w:rFonts w:ascii="Arial" w:hAnsi="Arial"/>
        </w:rPr>
        <w:t xml:space="preserve"> </w:t>
      </w:r>
      <w:proofErr w:type="spellStart"/>
      <w:r>
        <w:rPr>
          <w:rFonts w:ascii="Arial" w:hAnsi="Arial"/>
        </w:rPr>
        <w:t>Jansson</w:t>
      </w:r>
      <w:proofErr w:type="spellEnd"/>
      <w:r>
        <w:rPr>
          <w:rFonts w:ascii="Arial" w:hAnsi="Arial"/>
        </w:rPr>
        <w:t xml:space="preserve"> à Stockholm et RB Glas &amp; Plast à Göteborg. L’entreprise compte au total plus de 120 collaborateurs, dont la plupart sont employés à Örebro. Chez Martin G Anderson, le verre est découpé, trempé et traité. La palette de produits est très variée et inclut du verre isolant économe en énergie, du verre résistant au feu, du verre usiné et du verre de profil pour différents domaines de construction. Son produit le plus courant est principalement le verre isolant. L’usine d’Örebro livre les plus grands produits en verre fonctionnels de l’entreprise avec revêtements économes en énergie, protection contre le soleil et autres particularités. </w:t>
      </w:r>
      <w:proofErr w:type="spellStart"/>
      <w:r>
        <w:rPr>
          <w:rFonts w:ascii="Arial" w:hAnsi="Arial"/>
        </w:rPr>
        <w:t>Glasgruppen</w:t>
      </w:r>
      <w:proofErr w:type="spellEnd"/>
      <w:r>
        <w:rPr>
          <w:rFonts w:ascii="Arial" w:hAnsi="Arial"/>
        </w:rPr>
        <w:t xml:space="preserve"> enregistre un chiffre d’affaires annuel d’environ 25 millions d’euros qui provient essentiellement de l’approvisionnement de l’Europe du Nord. La clientèle est vaste et va des verriers individuels aux grandes entreprises de construction de façades. </w:t>
      </w:r>
    </w:p>
    <w:p w14:paraId="32BD57ED" w14:textId="77777777" w:rsidR="00342B7A" w:rsidRDefault="00342B7A" w:rsidP="00506039">
      <w:pPr>
        <w:jc w:val="both"/>
        <w:rPr>
          <w:rFonts w:ascii="Arial" w:hAnsi="Arial"/>
        </w:rPr>
      </w:pPr>
    </w:p>
    <w:p w14:paraId="3D98F609" w14:textId="77777777" w:rsidR="00342B7A" w:rsidRPr="00506039" w:rsidRDefault="00342B7A" w:rsidP="00342B7A">
      <w:pPr>
        <w:jc w:val="both"/>
        <w:rPr>
          <w:rFonts w:ascii="Arial" w:hAnsi="Arial"/>
          <w:b/>
          <w:bCs/>
        </w:rPr>
      </w:pPr>
      <w:r>
        <w:rPr>
          <w:rFonts w:ascii="Arial" w:hAnsi="Arial"/>
          <w:b/>
        </w:rPr>
        <w:t xml:space="preserve">Concept de </w:t>
      </w:r>
      <w:proofErr w:type="spellStart"/>
      <w:r>
        <w:rPr>
          <w:rFonts w:ascii="Arial" w:hAnsi="Arial"/>
          <w:b/>
        </w:rPr>
        <w:t>Glasgruppen</w:t>
      </w:r>
      <w:proofErr w:type="spellEnd"/>
      <w:r>
        <w:rPr>
          <w:rFonts w:ascii="Arial" w:hAnsi="Arial"/>
          <w:b/>
        </w:rPr>
        <w:t xml:space="preserve"> pour un marché durable pour l’avenir</w:t>
      </w:r>
    </w:p>
    <w:p w14:paraId="2F4D2534" w14:textId="2751B1C4" w:rsidR="00342B7A" w:rsidRPr="00506039" w:rsidRDefault="001756C1" w:rsidP="00506039">
      <w:pPr>
        <w:jc w:val="both"/>
        <w:rPr>
          <w:rFonts w:ascii="Arial" w:hAnsi="Arial"/>
        </w:rPr>
      </w:pPr>
      <w:r>
        <w:rPr>
          <w:rFonts w:ascii="Arial" w:hAnsi="Arial"/>
        </w:rPr>
        <w:t xml:space="preserve">La propriétaire et présidente, </w:t>
      </w:r>
      <w:proofErr w:type="spellStart"/>
      <w:r>
        <w:rPr>
          <w:rFonts w:ascii="Arial" w:hAnsi="Arial"/>
        </w:rPr>
        <w:t>Stina</w:t>
      </w:r>
      <w:proofErr w:type="spellEnd"/>
      <w:r>
        <w:rPr>
          <w:rFonts w:ascii="Arial" w:hAnsi="Arial"/>
        </w:rPr>
        <w:t xml:space="preserve"> </w:t>
      </w:r>
      <w:proofErr w:type="spellStart"/>
      <w:r>
        <w:rPr>
          <w:rFonts w:ascii="Arial" w:hAnsi="Arial"/>
        </w:rPr>
        <w:t>Wollenius</w:t>
      </w:r>
      <w:proofErr w:type="spellEnd"/>
      <w:r>
        <w:rPr>
          <w:rFonts w:ascii="Arial" w:hAnsi="Arial"/>
        </w:rPr>
        <w:t>, est pionnière, lorsqu'il est question de durabilité dans la branche. Elle espère que les grands groupes de la branche vont contribuer à reconnaître et à encourager l’importance de la durabilité. Outre l’accent mis sur les matériaux TPA dans la fabrication de verre industriel, il est décisif de passer de produits en verre plus gros à des produits en verre plus intelligents. La taille standard européenne des vitres dans les projets de construction peut par exemple réduire considérablement les déchets de 20 % à seulement 2 % par rapport aux tailles non standard. L’automatisation jouera un rôle plus important pour la compétitivité de demain. Même les futures tendances comme les vitres avec capteurs solaires intégrés, le verre qui protège les oiseaux et ménage les ressources, ont un gros potentiel pour un futur plus vert.</w:t>
      </w:r>
    </w:p>
    <w:p w14:paraId="3C3EE363" w14:textId="77777777" w:rsidR="00506039" w:rsidRPr="00506039" w:rsidRDefault="00506039" w:rsidP="00506039">
      <w:pPr>
        <w:jc w:val="both"/>
        <w:rPr>
          <w:rFonts w:ascii="Arial" w:hAnsi="Arial"/>
        </w:rPr>
      </w:pPr>
    </w:p>
    <w:p w14:paraId="53A6200F" w14:textId="77777777" w:rsidR="00506039" w:rsidRPr="00506039" w:rsidRDefault="00506039" w:rsidP="00506039">
      <w:pPr>
        <w:jc w:val="both"/>
        <w:rPr>
          <w:rFonts w:ascii="Arial" w:hAnsi="Arial"/>
          <w:b/>
          <w:bCs/>
        </w:rPr>
      </w:pPr>
      <w:r>
        <w:rPr>
          <w:rFonts w:ascii="Arial" w:hAnsi="Arial"/>
          <w:b/>
        </w:rPr>
        <w:lastRenderedPageBreak/>
        <w:t xml:space="preserve">Coopération avec </w:t>
      </w:r>
      <w:proofErr w:type="spellStart"/>
      <w:r>
        <w:rPr>
          <w:rFonts w:ascii="Arial" w:hAnsi="Arial"/>
          <w:b/>
        </w:rPr>
        <w:t>LiSEC</w:t>
      </w:r>
      <w:proofErr w:type="spellEnd"/>
    </w:p>
    <w:p w14:paraId="2728CA26" w14:textId="726B562C" w:rsidR="00506039" w:rsidRPr="00506039" w:rsidRDefault="00506039" w:rsidP="00506039">
      <w:pPr>
        <w:jc w:val="both"/>
        <w:rPr>
          <w:rFonts w:ascii="Arial" w:hAnsi="Arial"/>
        </w:rPr>
      </w:pPr>
      <w:r>
        <w:rPr>
          <w:rFonts w:ascii="Arial" w:hAnsi="Arial"/>
        </w:rPr>
        <w:t xml:space="preserve">Le partenariat entre </w:t>
      </w:r>
      <w:proofErr w:type="spellStart"/>
      <w:r>
        <w:rPr>
          <w:rFonts w:ascii="Arial" w:hAnsi="Arial"/>
        </w:rPr>
        <w:t>Glasgruppen</w:t>
      </w:r>
      <w:proofErr w:type="spellEnd"/>
      <w:r>
        <w:rPr>
          <w:rFonts w:ascii="Arial" w:hAnsi="Arial"/>
        </w:rPr>
        <w:t xml:space="preserve"> et </w:t>
      </w:r>
      <w:proofErr w:type="spellStart"/>
      <w:r>
        <w:rPr>
          <w:rFonts w:ascii="Arial" w:hAnsi="Arial"/>
        </w:rPr>
        <w:t>LiSEC</w:t>
      </w:r>
      <w:proofErr w:type="spellEnd"/>
      <w:r>
        <w:rPr>
          <w:rFonts w:ascii="Arial" w:hAnsi="Arial"/>
        </w:rPr>
        <w:t xml:space="preserve"> remonte aux années 70, l’entreprise faisait alors partie des premiers clients d’Europe du Nord de </w:t>
      </w:r>
      <w:proofErr w:type="spellStart"/>
      <w:r>
        <w:rPr>
          <w:rFonts w:ascii="Arial" w:hAnsi="Arial"/>
        </w:rPr>
        <w:t>LiSEC</w:t>
      </w:r>
      <w:proofErr w:type="spellEnd"/>
      <w:r>
        <w:rPr>
          <w:rFonts w:ascii="Arial" w:hAnsi="Arial"/>
        </w:rPr>
        <w:t xml:space="preserve">. Cette coopération à long terme a débuté avec des premiers contacts sur des salons dédiés à la technique du verre et s’est transformée depuis en un partenariat synergique. En Suède, la marque </w:t>
      </w:r>
      <w:proofErr w:type="spellStart"/>
      <w:r>
        <w:rPr>
          <w:rFonts w:ascii="Arial" w:hAnsi="Arial"/>
        </w:rPr>
        <w:t>LiSEC</w:t>
      </w:r>
      <w:proofErr w:type="spellEnd"/>
      <w:r>
        <w:rPr>
          <w:rFonts w:ascii="Arial" w:hAnsi="Arial"/>
        </w:rPr>
        <w:t xml:space="preserve"> est très connue notamment grâce à ses installations dans le domaine du verre isolant et des tables de découpe. Martin G Anderson de </w:t>
      </w:r>
      <w:proofErr w:type="spellStart"/>
      <w:r>
        <w:rPr>
          <w:rFonts w:ascii="Arial" w:hAnsi="Arial"/>
        </w:rPr>
        <w:t>Glasgruppen</w:t>
      </w:r>
      <w:proofErr w:type="spellEnd"/>
      <w:r>
        <w:rPr>
          <w:rFonts w:ascii="Arial" w:hAnsi="Arial"/>
        </w:rPr>
        <w:t xml:space="preserve"> a en outre acquis dans son entreprise des tables de découpe </w:t>
      </w:r>
      <w:proofErr w:type="spellStart"/>
      <w:r>
        <w:rPr>
          <w:rFonts w:ascii="Arial" w:hAnsi="Arial"/>
        </w:rPr>
        <w:t>LiSEC</w:t>
      </w:r>
      <w:proofErr w:type="spellEnd"/>
      <w:r>
        <w:rPr>
          <w:rFonts w:ascii="Arial" w:hAnsi="Arial"/>
        </w:rPr>
        <w:t xml:space="preserve"> pour verre </w:t>
      </w:r>
      <w:proofErr w:type="spellStart"/>
      <w:r>
        <w:rPr>
          <w:rFonts w:ascii="Arial" w:hAnsi="Arial"/>
        </w:rPr>
        <w:t>float</w:t>
      </w:r>
      <w:proofErr w:type="spellEnd"/>
      <w:r>
        <w:rPr>
          <w:rFonts w:ascii="Arial" w:hAnsi="Arial"/>
        </w:rPr>
        <w:t xml:space="preserve"> (GFB) et verre feuilleté (VB), une meuleuse (KSR) et une plieuse (BSV-45ANK). Le dernier investissement était une ligne TPA. </w:t>
      </w:r>
    </w:p>
    <w:p w14:paraId="62DFE074" w14:textId="7D595D7A" w:rsidR="00506039" w:rsidRPr="00506039" w:rsidRDefault="00506039" w:rsidP="00506039">
      <w:pPr>
        <w:jc w:val="both"/>
        <w:rPr>
          <w:rFonts w:ascii="Arial" w:hAnsi="Arial"/>
        </w:rPr>
      </w:pPr>
      <w:r>
        <w:rPr>
          <w:rFonts w:ascii="Arial" w:hAnsi="Arial"/>
          <w:i/>
        </w:rPr>
        <w:t xml:space="preserve">« Les raisons pour lesquelles nous achetons </w:t>
      </w:r>
      <w:proofErr w:type="spellStart"/>
      <w:r>
        <w:rPr>
          <w:rFonts w:ascii="Arial" w:hAnsi="Arial"/>
          <w:i/>
        </w:rPr>
        <w:t>LiSEC</w:t>
      </w:r>
      <w:proofErr w:type="spellEnd"/>
      <w:r>
        <w:rPr>
          <w:rFonts w:ascii="Arial" w:hAnsi="Arial"/>
          <w:i/>
        </w:rPr>
        <w:t xml:space="preserve"> depuis des générations, sont la qualité et durabilité élevées des installations ainsi que les résultats fiables et le service clients remarquable »,</w:t>
      </w:r>
      <w:r>
        <w:rPr>
          <w:rFonts w:ascii="Arial" w:hAnsi="Arial"/>
        </w:rPr>
        <w:t xml:space="preserve"> déclare la propriétaire de l’entreprise </w:t>
      </w:r>
      <w:proofErr w:type="spellStart"/>
      <w:r>
        <w:rPr>
          <w:rFonts w:ascii="Arial" w:hAnsi="Arial"/>
        </w:rPr>
        <w:t>Glasgruppen</w:t>
      </w:r>
      <w:proofErr w:type="spellEnd"/>
      <w:r>
        <w:rPr>
          <w:rFonts w:ascii="Arial" w:hAnsi="Arial"/>
        </w:rPr>
        <w:t xml:space="preserve">, </w:t>
      </w:r>
      <w:proofErr w:type="spellStart"/>
      <w:r>
        <w:rPr>
          <w:rFonts w:ascii="Arial" w:hAnsi="Arial"/>
        </w:rPr>
        <w:t>Stina</w:t>
      </w:r>
      <w:proofErr w:type="spellEnd"/>
      <w:r>
        <w:rPr>
          <w:rFonts w:ascii="Arial" w:hAnsi="Arial"/>
        </w:rPr>
        <w:t xml:space="preserve"> </w:t>
      </w:r>
      <w:proofErr w:type="spellStart"/>
      <w:r>
        <w:rPr>
          <w:rFonts w:ascii="Arial" w:hAnsi="Arial"/>
        </w:rPr>
        <w:t>Wollenius</w:t>
      </w:r>
      <w:proofErr w:type="spellEnd"/>
      <w:r>
        <w:rPr>
          <w:rFonts w:ascii="Arial" w:hAnsi="Arial"/>
        </w:rPr>
        <w:t xml:space="preserve">. </w:t>
      </w:r>
    </w:p>
    <w:p w14:paraId="41B2BB60" w14:textId="70E9608D" w:rsidR="00506039" w:rsidRPr="00506039" w:rsidRDefault="00506039" w:rsidP="00506039">
      <w:pPr>
        <w:jc w:val="both"/>
        <w:rPr>
          <w:rFonts w:ascii="Arial" w:hAnsi="Arial"/>
        </w:rPr>
      </w:pPr>
      <w:proofErr w:type="spellStart"/>
      <w:r>
        <w:rPr>
          <w:rFonts w:ascii="Arial" w:hAnsi="Arial"/>
        </w:rPr>
        <w:t>Glasgruppen</w:t>
      </w:r>
      <w:proofErr w:type="spellEnd"/>
      <w:r>
        <w:rPr>
          <w:rFonts w:ascii="Arial" w:hAnsi="Arial"/>
        </w:rPr>
        <w:t xml:space="preserve"> salue la collaboration avec </w:t>
      </w:r>
      <w:proofErr w:type="spellStart"/>
      <w:r>
        <w:rPr>
          <w:rFonts w:ascii="Arial" w:hAnsi="Arial"/>
        </w:rPr>
        <w:t>LiSEC</w:t>
      </w:r>
      <w:proofErr w:type="spellEnd"/>
      <w:r>
        <w:rPr>
          <w:rFonts w:ascii="Arial" w:hAnsi="Arial"/>
        </w:rPr>
        <w:t xml:space="preserve"> et souligne le service exceptionnel, les délais de réaction rapides ainsi que l’étroite collaboration avec l’équipe de vente. Ce service clients haute qualité renforce la confiance et la fiabilité. </w:t>
      </w:r>
      <w:proofErr w:type="spellStart"/>
      <w:r>
        <w:rPr>
          <w:rFonts w:ascii="Arial" w:hAnsi="Arial"/>
        </w:rPr>
        <w:t>Glasgruppen</w:t>
      </w:r>
      <w:proofErr w:type="spellEnd"/>
      <w:r>
        <w:rPr>
          <w:rFonts w:ascii="Arial" w:hAnsi="Arial"/>
        </w:rPr>
        <w:t xml:space="preserve"> peut ainsi se consacrer à sa propre activité sans devoir réfléchir aux machines et à l’assistance technique.</w:t>
      </w:r>
    </w:p>
    <w:p w14:paraId="00CB27AC" w14:textId="77777777" w:rsidR="00506039" w:rsidRPr="00506039" w:rsidRDefault="00506039" w:rsidP="00506039">
      <w:pPr>
        <w:jc w:val="both"/>
        <w:rPr>
          <w:rFonts w:ascii="Arial" w:hAnsi="Arial"/>
        </w:rPr>
      </w:pPr>
    </w:p>
    <w:p w14:paraId="0CBDA424" w14:textId="36E42A6C" w:rsidR="00506039" w:rsidRPr="00506039" w:rsidRDefault="00506039" w:rsidP="00506039">
      <w:pPr>
        <w:jc w:val="both"/>
        <w:rPr>
          <w:rFonts w:ascii="Arial" w:hAnsi="Arial"/>
          <w:b/>
          <w:bCs/>
        </w:rPr>
      </w:pPr>
      <w:r>
        <w:rPr>
          <w:rFonts w:ascii="Arial" w:hAnsi="Arial"/>
          <w:b/>
        </w:rPr>
        <w:t xml:space="preserve">Chez Martin G Anderson, la ligne TPA de </w:t>
      </w:r>
      <w:proofErr w:type="spellStart"/>
      <w:r>
        <w:rPr>
          <w:rFonts w:ascii="Arial" w:hAnsi="Arial"/>
          <w:b/>
        </w:rPr>
        <w:t>LiSEC</w:t>
      </w:r>
      <w:proofErr w:type="spellEnd"/>
      <w:r>
        <w:rPr>
          <w:rFonts w:ascii="Arial" w:hAnsi="Arial"/>
          <w:b/>
        </w:rPr>
        <w:t xml:space="preserve"> s’inscrit ainsi dans la stratégie durable de </w:t>
      </w:r>
      <w:proofErr w:type="spellStart"/>
      <w:r>
        <w:rPr>
          <w:rFonts w:ascii="Arial" w:hAnsi="Arial"/>
          <w:b/>
        </w:rPr>
        <w:t>Glasgruppen</w:t>
      </w:r>
      <w:proofErr w:type="spellEnd"/>
    </w:p>
    <w:p w14:paraId="624EA476" w14:textId="0435D460" w:rsidR="00506039" w:rsidRPr="00506039" w:rsidRDefault="00506039" w:rsidP="00506039">
      <w:pPr>
        <w:jc w:val="both"/>
        <w:rPr>
          <w:rFonts w:ascii="Arial" w:hAnsi="Arial"/>
        </w:rPr>
      </w:pPr>
      <w:proofErr w:type="spellStart"/>
      <w:r>
        <w:rPr>
          <w:rFonts w:ascii="Arial" w:hAnsi="Arial"/>
        </w:rPr>
        <w:t>Glasgruppen</w:t>
      </w:r>
      <w:proofErr w:type="spellEnd"/>
      <w:r>
        <w:rPr>
          <w:rFonts w:ascii="Arial" w:hAnsi="Arial"/>
        </w:rPr>
        <w:t xml:space="preserve"> s’engage en faveur d'un service clients exceptionnel, entretient des relations étroites avec ses clients et minimise son impact environnemental. L’entreprise se démarque sur le marché grâce à son engagement en faveur de livraisons rapides, de produits haute qualité et de faibles émissions de CO</w:t>
      </w:r>
      <w:r>
        <w:rPr>
          <w:rFonts w:ascii="Arial" w:hAnsi="Arial"/>
          <w:vertAlign w:val="subscript"/>
        </w:rPr>
        <w:t>2</w:t>
      </w:r>
      <w:r>
        <w:rPr>
          <w:rFonts w:ascii="Arial" w:hAnsi="Arial"/>
        </w:rPr>
        <w:t xml:space="preserve">. Dans toutes les usines de </w:t>
      </w:r>
      <w:proofErr w:type="spellStart"/>
      <w:r>
        <w:rPr>
          <w:rFonts w:ascii="Arial" w:hAnsi="Arial"/>
        </w:rPr>
        <w:t>Glasgruppen</w:t>
      </w:r>
      <w:proofErr w:type="spellEnd"/>
      <w:r>
        <w:rPr>
          <w:rFonts w:ascii="Arial" w:hAnsi="Arial"/>
        </w:rPr>
        <w:t xml:space="preserve">, les déchets de verre sont, par exemple, recyclés à 100 % et tous les camions fonctionnent à l’énergie renouvelable. Au total, l’entreprise a réduit env. 98 % de ses émissions propres et travaille encore sur les 2 derniers %. L’entreprise suédoise pense que TPA est la technique qui présente le plus grand potentiel d’avenir et est également le choix le plus durable en ce qui concerne la fabrication d’éléments en verre isolant. La propriétaire et présidente, </w:t>
      </w:r>
      <w:proofErr w:type="spellStart"/>
      <w:r>
        <w:rPr>
          <w:rFonts w:ascii="Arial" w:hAnsi="Arial"/>
        </w:rPr>
        <w:t>Stina</w:t>
      </w:r>
      <w:proofErr w:type="spellEnd"/>
      <w:r>
        <w:rPr>
          <w:rFonts w:ascii="Arial" w:hAnsi="Arial"/>
        </w:rPr>
        <w:t xml:space="preserve"> </w:t>
      </w:r>
      <w:proofErr w:type="spellStart"/>
      <w:r>
        <w:rPr>
          <w:rFonts w:ascii="Arial" w:hAnsi="Arial"/>
        </w:rPr>
        <w:t>Wollenius</w:t>
      </w:r>
      <w:proofErr w:type="spellEnd"/>
      <w:r>
        <w:rPr>
          <w:rFonts w:ascii="Arial" w:hAnsi="Arial"/>
        </w:rPr>
        <w:t xml:space="preserve">, retient notamment le matériau d’entretoise thermoplastique, car il prolonge non seulement la durée de vie du produit et offre une flexibilité élevée en matière de tailles d’entretoises, mais il contribue également à l’économie circulaire. Les entretoises TPA favorisent la réutilisation des produits car elles ne laissent pas d’impuretés métalliques contrairement aux modèles traditionnels. Leur potentiel de réutilisation est ainsi plus élevé et l’impact environnemental est réduit. </w:t>
      </w:r>
    </w:p>
    <w:p w14:paraId="7E082EB9" w14:textId="4846F052" w:rsidR="00506039" w:rsidRPr="00506039" w:rsidRDefault="00506039" w:rsidP="00506039">
      <w:pPr>
        <w:jc w:val="both"/>
        <w:rPr>
          <w:rFonts w:ascii="Arial" w:hAnsi="Arial"/>
        </w:rPr>
      </w:pPr>
      <w:r>
        <w:rPr>
          <w:rFonts w:ascii="Arial" w:hAnsi="Arial"/>
        </w:rPr>
        <w:t xml:space="preserve">Avec l’objectif claire d'utiliser la technique TPA, Martin G. Anderson s’est mis en quête de nouvelles solutions. Lors d’un processus de décision intensif, l’entreprise a opté pour la ligne TPA de </w:t>
      </w:r>
      <w:proofErr w:type="spellStart"/>
      <w:r>
        <w:rPr>
          <w:rFonts w:ascii="Arial" w:hAnsi="Arial"/>
        </w:rPr>
        <w:t>LiSEC</w:t>
      </w:r>
      <w:proofErr w:type="spellEnd"/>
      <w:r>
        <w:rPr>
          <w:rFonts w:ascii="Arial" w:hAnsi="Arial"/>
        </w:rPr>
        <w:t xml:space="preserve">. Martin G Anderson connaissait parfaitement les points forts et les points faibles de sa ligne de fabrication précédente ; avec la ligne TPA offerte, </w:t>
      </w:r>
      <w:proofErr w:type="spellStart"/>
      <w:r>
        <w:rPr>
          <w:rFonts w:ascii="Arial" w:hAnsi="Arial"/>
        </w:rPr>
        <w:t>LiSEC</w:t>
      </w:r>
      <w:proofErr w:type="spellEnd"/>
      <w:r>
        <w:rPr>
          <w:rFonts w:ascii="Arial" w:hAnsi="Arial"/>
        </w:rPr>
        <w:t xml:space="preserve"> était le seul fabricant qui pouvait résoudre ces problèmes et apporter l’aide nécessaire à </w:t>
      </w:r>
      <w:proofErr w:type="spellStart"/>
      <w:r>
        <w:rPr>
          <w:rFonts w:ascii="Arial" w:hAnsi="Arial"/>
        </w:rPr>
        <w:t>Glasgruppen</w:t>
      </w:r>
      <w:proofErr w:type="spellEnd"/>
      <w:r>
        <w:rPr>
          <w:rFonts w:ascii="Arial" w:hAnsi="Arial"/>
        </w:rPr>
        <w:t xml:space="preserve">. La ligne TPA de </w:t>
      </w:r>
      <w:proofErr w:type="spellStart"/>
      <w:r>
        <w:rPr>
          <w:rFonts w:ascii="Arial" w:hAnsi="Arial"/>
        </w:rPr>
        <w:t>LiSEC</w:t>
      </w:r>
      <w:proofErr w:type="spellEnd"/>
      <w:r>
        <w:rPr>
          <w:rFonts w:ascii="Arial" w:hAnsi="Arial"/>
        </w:rPr>
        <w:t xml:space="preserve">, utilisée chez Martin G Anderson est capable de fabriquer des éléments en verre isolant quadruples avec une épaisseur max. de 100 mm et un poids max. de 350 kg/mètre linéaire. Elle a été adaptée individuellement à l’espace disponible chez Martin G Anderson. La </w:t>
      </w:r>
      <w:r>
        <w:rPr>
          <w:rFonts w:ascii="Arial" w:hAnsi="Arial"/>
        </w:rPr>
        <w:lastRenderedPageBreak/>
        <w:t xml:space="preserve">ligne de verre isolant dispose d'une station de réglage d’inclinaison rotative (NWLD) qui permet de tourner les éléments en verre isolant de 90°. Au cœur de cette ligne, on retrouve la TPA-A, un système entièrement automatique d’insertion d’entretoises thermoplastiques. La TPA de </w:t>
      </w:r>
      <w:proofErr w:type="spellStart"/>
      <w:r>
        <w:rPr>
          <w:rFonts w:ascii="Arial" w:hAnsi="Arial"/>
        </w:rPr>
        <w:t>LiSEC</w:t>
      </w:r>
      <w:proofErr w:type="spellEnd"/>
      <w:r>
        <w:rPr>
          <w:rFonts w:ascii="Arial" w:hAnsi="Arial"/>
        </w:rPr>
        <w:t xml:space="preserve"> offre une flexibilité maximale grâce au changement homogène entre les différents formats de verre et différentes largeurs d’entretoises, sans période d´attente. Avec l’AGP-A de </w:t>
      </w:r>
      <w:proofErr w:type="spellStart"/>
      <w:r>
        <w:rPr>
          <w:rFonts w:ascii="Arial" w:hAnsi="Arial"/>
        </w:rPr>
        <w:t>LiSEC</w:t>
      </w:r>
      <w:proofErr w:type="spellEnd"/>
      <w:r>
        <w:rPr>
          <w:rFonts w:ascii="Arial" w:hAnsi="Arial"/>
        </w:rPr>
        <w:t xml:space="preserve">, une presse de remplissage de gaz pour le remplissage de gaz entièrement automatique, le montage et le pressage d’éléments en verre isolant, est intégrée dans cette ligne. Cette ligne est idéale pour l’usinage d’entretoises thermoplastiques car les plaques de pressage fixes et mobiles fonctionnent avec un entraînement par courroie. La VFL-1F de </w:t>
      </w:r>
      <w:proofErr w:type="spellStart"/>
      <w:r>
        <w:rPr>
          <w:rFonts w:ascii="Arial" w:hAnsi="Arial"/>
        </w:rPr>
        <w:t>LiSEC</w:t>
      </w:r>
      <w:proofErr w:type="spellEnd"/>
      <w:r>
        <w:rPr>
          <w:rFonts w:ascii="Arial" w:hAnsi="Arial"/>
        </w:rPr>
        <w:t xml:space="preserve"> est un système d’enduction d’éléments en verre isolant avec matière d’enduction bi-composant. La structure perfectionnée de ce système garantit également un haut niveau de sécurité des processus et une qualité maximale lors de la découpe des coins, même avec des éléments lourds.</w:t>
      </w:r>
    </w:p>
    <w:p w14:paraId="2A14BD9C" w14:textId="77777777" w:rsidR="00506039" w:rsidRPr="00506039" w:rsidRDefault="00506039" w:rsidP="00506039">
      <w:pPr>
        <w:jc w:val="both"/>
        <w:rPr>
          <w:rFonts w:ascii="Arial" w:hAnsi="Arial"/>
        </w:rPr>
      </w:pPr>
    </w:p>
    <w:p w14:paraId="78BAE3E2" w14:textId="16255D15" w:rsidR="00506039" w:rsidRDefault="00506039" w:rsidP="00506039">
      <w:pPr>
        <w:jc w:val="both"/>
        <w:rPr>
          <w:rFonts w:ascii="Arial" w:hAnsi="Arial"/>
        </w:rPr>
      </w:pPr>
      <w:r>
        <w:rPr>
          <w:rFonts w:ascii="Arial" w:hAnsi="Arial"/>
        </w:rPr>
        <w:t xml:space="preserve">Plus d’informations sur la TPA-A de </w:t>
      </w:r>
      <w:proofErr w:type="spellStart"/>
      <w:r>
        <w:rPr>
          <w:rFonts w:ascii="Arial" w:hAnsi="Arial"/>
        </w:rPr>
        <w:t>LiSEC</w:t>
      </w:r>
      <w:proofErr w:type="spellEnd"/>
      <w:r>
        <w:rPr>
          <w:rFonts w:ascii="Arial" w:hAnsi="Arial"/>
        </w:rPr>
        <w:t xml:space="preserve"> : </w:t>
      </w:r>
      <w:hyperlink r:id="rId8" w:history="1">
        <w:r>
          <w:rPr>
            <w:rStyle w:val="Hyperlink"/>
            <w:rFonts w:ascii="Arial" w:hAnsi="Arial"/>
          </w:rPr>
          <w:t>https://www.lisec.com/solutions/individual-machines/detail/thermoplastic-spacer/tpa</w:t>
        </w:r>
      </w:hyperlink>
    </w:p>
    <w:p w14:paraId="34C5499E" w14:textId="4A5941B8" w:rsidR="00506039" w:rsidRDefault="00506039" w:rsidP="00506039">
      <w:pPr>
        <w:jc w:val="both"/>
        <w:rPr>
          <w:rFonts w:ascii="Arial" w:hAnsi="Arial"/>
        </w:rPr>
      </w:pPr>
      <w:r>
        <w:rPr>
          <w:rFonts w:ascii="Arial" w:hAnsi="Arial"/>
        </w:rPr>
        <w:t xml:space="preserve">Plus d’informations sur l’AGP-A de </w:t>
      </w:r>
      <w:proofErr w:type="spellStart"/>
      <w:r>
        <w:rPr>
          <w:rFonts w:ascii="Arial" w:hAnsi="Arial"/>
        </w:rPr>
        <w:t>LiSEC</w:t>
      </w:r>
      <w:proofErr w:type="spellEnd"/>
      <w:r>
        <w:rPr>
          <w:rFonts w:ascii="Arial" w:hAnsi="Arial"/>
        </w:rPr>
        <w:t xml:space="preserve"> : </w:t>
      </w:r>
      <w:hyperlink r:id="rId9" w:history="1">
        <w:r>
          <w:rPr>
            <w:rStyle w:val="Hyperlink"/>
            <w:rFonts w:ascii="Arial" w:hAnsi="Arial"/>
          </w:rPr>
          <w:t>https://www.lisec.com/solutions/individual-machines/detail/pressing/agp-a</w:t>
        </w:r>
      </w:hyperlink>
    </w:p>
    <w:p w14:paraId="6DBEC439" w14:textId="141C339B" w:rsidR="00361CA9" w:rsidRDefault="00506039" w:rsidP="00506039">
      <w:pPr>
        <w:jc w:val="both"/>
        <w:rPr>
          <w:rFonts w:ascii="Arial" w:hAnsi="Arial"/>
        </w:rPr>
      </w:pPr>
      <w:r>
        <w:rPr>
          <w:rFonts w:ascii="Arial" w:hAnsi="Arial"/>
        </w:rPr>
        <w:t xml:space="preserve">Plus d’informations sur la VFL-1F de </w:t>
      </w:r>
      <w:proofErr w:type="spellStart"/>
      <w:r>
        <w:rPr>
          <w:rFonts w:ascii="Arial" w:hAnsi="Arial"/>
        </w:rPr>
        <w:t>LiSEC</w:t>
      </w:r>
      <w:proofErr w:type="spellEnd"/>
      <w:r>
        <w:rPr>
          <w:rFonts w:ascii="Arial" w:hAnsi="Arial"/>
        </w:rPr>
        <w:t xml:space="preserve"> : </w:t>
      </w:r>
      <w:hyperlink r:id="rId10" w:history="1">
        <w:r>
          <w:rPr>
            <w:rStyle w:val="Hyperlink"/>
            <w:rFonts w:ascii="Arial" w:hAnsi="Arial"/>
          </w:rPr>
          <w:t>https://www.lisec.com/solutions/individual-machines/detail/sealing/cleanseal-vfl-1f</w:t>
        </w:r>
      </w:hyperlink>
    </w:p>
    <w:p w14:paraId="225383D3" w14:textId="77777777" w:rsidR="00506039" w:rsidRDefault="00506039" w:rsidP="00506039">
      <w:pPr>
        <w:jc w:val="both"/>
        <w:rPr>
          <w:rFonts w:ascii="Arial" w:hAnsi="Arial" w:cs="Arial"/>
        </w:rPr>
      </w:pPr>
    </w:p>
    <w:p w14:paraId="6AD0278F" w14:textId="77777777" w:rsidR="006629CC" w:rsidRDefault="006629CC">
      <w:pPr>
        <w:rPr>
          <w:rFonts w:ascii="Arial" w:hAnsi="Arial" w:cs="Arial"/>
        </w:rPr>
      </w:pPr>
      <w:r>
        <w:br w:type="page"/>
      </w:r>
    </w:p>
    <w:p w14:paraId="606B344A" w14:textId="2B49932E" w:rsidR="00361CA9" w:rsidRPr="0084623F" w:rsidRDefault="006629CC" w:rsidP="00361CA9">
      <w:pPr>
        <w:jc w:val="both"/>
        <w:rPr>
          <w:rFonts w:ascii="Arial" w:hAnsi="Arial" w:cs="Arial"/>
          <w:b/>
          <w:bCs/>
        </w:rPr>
      </w:pPr>
      <w:r>
        <w:rPr>
          <w:rFonts w:ascii="Arial" w:hAnsi="Arial"/>
          <w:b/>
        </w:rPr>
        <w:lastRenderedPageBreak/>
        <w:t>Images :</w:t>
      </w:r>
    </w:p>
    <w:p w14:paraId="0BC1F804" w14:textId="6D82B4AA" w:rsidR="00361CA9" w:rsidRDefault="00527141" w:rsidP="00361CA9">
      <w:pPr>
        <w:jc w:val="both"/>
        <w:rPr>
          <w:rFonts w:ascii="Arial" w:hAnsi="Arial" w:cs="Arial"/>
        </w:rPr>
      </w:pPr>
      <w:bookmarkStart w:id="2" w:name="_Hlk138084845"/>
      <w:bookmarkStart w:id="3" w:name="_Hlk138084888"/>
      <w:r>
        <w:rPr>
          <w:rFonts w:ascii="Arial" w:hAnsi="Arial"/>
          <w:noProof/>
        </w:rPr>
        <w:drawing>
          <wp:inline distT="0" distB="0" distL="0" distR="0" wp14:anchorId="082A8596" wp14:editId="7EDC94F7">
            <wp:extent cx="4680000" cy="2753851"/>
            <wp:effectExtent l="0" t="0" r="6350" b="889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80000" cy="2753851"/>
                    </a:xfrm>
                    <a:prstGeom prst="rect">
                      <a:avLst/>
                    </a:prstGeom>
                    <a:noFill/>
                    <a:ln>
                      <a:noFill/>
                    </a:ln>
                  </pic:spPr>
                </pic:pic>
              </a:graphicData>
            </a:graphic>
          </wp:inline>
        </w:drawing>
      </w:r>
    </w:p>
    <w:p w14:paraId="03B439BB" w14:textId="54D54E30" w:rsidR="00F43599" w:rsidRPr="00C97928" w:rsidRDefault="00F43599" w:rsidP="00F43599">
      <w:pPr>
        <w:widowControl w:val="0"/>
        <w:spacing w:after="0" w:line="240" w:lineRule="auto"/>
        <w:jc w:val="both"/>
        <w:rPr>
          <w:rFonts w:ascii="Arial" w:hAnsi="Arial" w:cs="Arial"/>
          <w:bCs/>
          <w:sz w:val="20"/>
          <w:szCs w:val="24"/>
        </w:rPr>
      </w:pPr>
      <w:r>
        <w:rPr>
          <w:rFonts w:ascii="Arial" w:hAnsi="Arial"/>
        </w:rPr>
        <w:t xml:space="preserve">Arnt Jakobsen (Sales Agent) et la propriétaire de </w:t>
      </w:r>
      <w:proofErr w:type="spellStart"/>
      <w:r>
        <w:rPr>
          <w:rFonts w:ascii="Arial" w:hAnsi="Arial"/>
        </w:rPr>
        <w:t>Glasgruppen</w:t>
      </w:r>
      <w:proofErr w:type="spellEnd"/>
      <w:r>
        <w:rPr>
          <w:rFonts w:ascii="Arial" w:hAnsi="Arial"/>
        </w:rPr>
        <w:t xml:space="preserve">, </w:t>
      </w:r>
      <w:proofErr w:type="spellStart"/>
      <w:r>
        <w:rPr>
          <w:rFonts w:ascii="Arial" w:hAnsi="Arial"/>
        </w:rPr>
        <w:t>Stina</w:t>
      </w:r>
      <w:proofErr w:type="spellEnd"/>
      <w:r>
        <w:rPr>
          <w:rFonts w:ascii="Arial" w:hAnsi="Arial"/>
        </w:rPr>
        <w:t xml:space="preserve"> </w:t>
      </w:r>
      <w:proofErr w:type="spellStart"/>
      <w:r>
        <w:rPr>
          <w:rFonts w:ascii="Arial" w:hAnsi="Arial"/>
        </w:rPr>
        <w:t>Wollenius</w:t>
      </w:r>
      <w:proofErr w:type="spellEnd"/>
      <w:r>
        <w:rPr>
          <w:rFonts w:ascii="Arial" w:hAnsi="Arial"/>
        </w:rPr>
        <w:t xml:space="preserve"> </w:t>
      </w:r>
      <w:r>
        <w:rPr>
          <w:rFonts w:ascii="Arial" w:hAnsi="Arial"/>
          <w:color w:val="202124"/>
          <w:shd w:val="clear" w:color="auto" w:fill="FFFFFF"/>
        </w:rPr>
        <w:t xml:space="preserve">© </w:t>
      </w:r>
      <w:proofErr w:type="spellStart"/>
      <w:r>
        <w:rPr>
          <w:rFonts w:ascii="Arial" w:hAnsi="Arial"/>
        </w:rPr>
        <w:t>LiSEC</w:t>
      </w:r>
      <w:proofErr w:type="spellEnd"/>
    </w:p>
    <w:p w14:paraId="36D271F0" w14:textId="3417699D" w:rsidR="00F43599" w:rsidRDefault="00F43599" w:rsidP="00361CA9">
      <w:pPr>
        <w:jc w:val="both"/>
        <w:rPr>
          <w:rFonts w:ascii="Arial" w:hAnsi="Arial" w:cs="Arial"/>
        </w:rPr>
      </w:pPr>
    </w:p>
    <w:p w14:paraId="415FE587" w14:textId="77777777" w:rsidR="00527141" w:rsidRDefault="00527141" w:rsidP="00361CA9">
      <w:pPr>
        <w:jc w:val="both"/>
        <w:rPr>
          <w:rFonts w:ascii="Arial" w:hAnsi="Arial" w:cs="Arial"/>
        </w:rPr>
      </w:pPr>
    </w:p>
    <w:p w14:paraId="45E14A63" w14:textId="5EF651F0" w:rsidR="00FD2040" w:rsidRDefault="00527141" w:rsidP="00361CA9">
      <w:pPr>
        <w:jc w:val="both"/>
        <w:rPr>
          <w:rFonts w:ascii="Arial" w:hAnsi="Arial" w:cs="Arial"/>
        </w:rPr>
      </w:pPr>
      <w:r>
        <w:rPr>
          <w:rFonts w:ascii="Arial" w:hAnsi="Arial"/>
          <w:noProof/>
        </w:rPr>
        <w:drawing>
          <wp:inline distT="0" distB="0" distL="0" distR="0" wp14:anchorId="28116B2C" wp14:editId="3A7F7F03">
            <wp:extent cx="4680000" cy="3120000"/>
            <wp:effectExtent l="0" t="0" r="6350" b="444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72F0FFA7" w14:textId="45B832A3" w:rsidR="00F43599" w:rsidRPr="00F43599" w:rsidRDefault="00F43599" w:rsidP="00361CA9">
      <w:pPr>
        <w:jc w:val="both"/>
        <w:rPr>
          <w:rFonts w:ascii="Arial" w:hAnsi="Arial" w:cs="Arial"/>
        </w:rPr>
      </w:pPr>
      <w:r>
        <w:rPr>
          <w:rFonts w:ascii="Arial" w:hAnsi="Arial"/>
        </w:rPr>
        <w:t xml:space="preserve">La </w:t>
      </w:r>
      <w:proofErr w:type="spellStart"/>
      <w:r>
        <w:rPr>
          <w:rFonts w:ascii="Arial" w:hAnsi="Arial"/>
        </w:rPr>
        <w:t>LiSEC</w:t>
      </w:r>
      <w:proofErr w:type="spellEnd"/>
      <w:r>
        <w:rPr>
          <w:rFonts w:ascii="Arial" w:hAnsi="Arial"/>
        </w:rPr>
        <w:t xml:space="preserve"> TPA-A </w:t>
      </w:r>
      <w:r>
        <w:rPr>
          <w:rFonts w:ascii="Arial" w:hAnsi="Arial"/>
          <w:color w:val="202124"/>
          <w:shd w:val="clear" w:color="auto" w:fill="FFFFFF"/>
        </w:rPr>
        <w:t xml:space="preserve">© </w:t>
      </w:r>
      <w:proofErr w:type="spellStart"/>
      <w:r>
        <w:rPr>
          <w:rFonts w:ascii="Arial" w:hAnsi="Arial"/>
        </w:rPr>
        <w:t>LiSEC</w:t>
      </w:r>
      <w:proofErr w:type="spellEnd"/>
    </w:p>
    <w:p w14:paraId="131A90A3" w14:textId="77777777" w:rsidR="00527141" w:rsidRPr="00F43599" w:rsidRDefault="00527141" w:rsidP="00361CA9">
      <w:pPr>
        <w:jc w:val="both"/>
        <w:rPr>
          <w:rFonts w:ascii="Arial" w:hAnsi="Arial" w:cs="Arial"/>
        </w:rPr>
      </w:pPr>
    </w:p>
    <w:p w14:paraId="6D4D496D" w14:textId="77777777" w:rsidR="00527141" w:rsidRPr="00F43599" w:rsidRDefault="00527141" w:rsidP="00361CA9">
      <w:pPr>
        <w:jc w:val="both"/>
        <w:rPr>
          <w:rFonts w:ascii="Arial" w:hAnsi="Arial" w:cs="Arial"/>
        </w:rPr>
      </w:pPr>
    </w:p>
    <w:p w14:paraId="26CB3ECF" w14:textId="77777777" w:rsidR="00527141" w:rsidRPr="00F43599" w:rsidRDefault="00527141" w:rsidP="00361CA9">
      <w:pPr>
        <w:jc w:val="both"/>
        <w:rPr>
          <w:rFonts w:ascii="Arial" w:hAnsi="Arial" w:cs="Arial"/>
        </w:rPr>
      </w:pPr>
    </w:p>
    <w:p w14:paraId="15B4452E" w14:textId="4906D94D" w:rsidR="00527141" w:rsidRDefault="00527141" w:rsidP="00361CA9">
      <w:pPr>
        <w:jc w:val="both"/>
        <w:rPr>
          <w:rFonts w:ascii="Arial" w:hAnsi="Arial" w:cs="Arial"/>
        </w:rPr>
      </w:pPr>
      <w:r>
        <w:rPr>
          <w:rFonts w:ascii="Arial" w:hAnsi="Arial"/>
          <w:noProof/>
        </w:rPr>
        <w:lastRenderedPageBreak/>
        <w:drawing>
          <wp:inline distT="0" distB="0" distL="0" distR="0" wp14:anchorId="198D3F1C" wp14:editId="70F99EE9">
            <wp:extent cx="4680000" cy="3120000"/>
            <wp:effectExtent l="0" t="0" r="6350" b="444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209CC636" w14:textId="6F0F56B6" w:rsidR="00F43599" w:rsidRDefault="00F43599" w:rsidP="00361CA9">
      <w:pPr>
        <w:jc w:val="both"/>
        <w:rPr>
          <w:rFonts w:ascii="Arial" w:hAnsi="Arial" w:cs="Arial"/>
        </w:rPr>
      </w:pPr>
      <w:r>
        <w:rPr>
          <w:rFonts w:ascii="Arial" w:hAnsi="Arial"/>
        </w:rPr>
        <w:t xml:space="preserve">L’usine de production à </w:t>
      </w:r>
      <w:proofErr w:type="spellStart"/>
      <w:r>
        <w:rPr>
          <w:rFonts w:ascii="Arial" w:hAnsi="Arial"/>
        </w:rPr>
        <w:t>Örebrö</w:t>
      </w:r>
      <w:proofErr w:type="spellEnd"/>
      <w:r>
        <w:rPr>
          <w:rFonts w:ascii="Arial" w:hAnsi="Arial"/>
        </w:rPr>
        <w:t xml:space="preserve">, Suède </w:t>
      </w:r>
      <w:r>
        <w:rPr>
          <w:rFonts w:ascii="Arial" w:hAnsi="Arial"/>
          <w:color w:val="202124"/>
          <w:shd w:val="clear" w:color="auto" w:fill="FFFFFF"/>
        </w:rPr>
        <w:t xml:space="preserve">© </w:t>
      </w:r>
      <w:proofErr w:type="spellStart"/>
      <w:r>
        <w:rPr>
          <w:rFonts w:ascii="Arial" w:hAnsi="Arial"/>
        </w:rPr>
        <w:t>LiSEC</w:t>
      </w:r>
      <w:proofErr w:type="spellEnd"/>
    </w:p>
    <w:p w14:paraId="77DC2DC8" w14:textId="77777777" w:rsidR="00AE66E6" w:rsidRDefault="00AE66E6" w:rsidP="00361CA9">
      <w:pPr>
        <w:jc w:val="both"/>
        <w:rPr>
          <w:rFonts w:ascii="Arial" w:hAnsi="Arial"/>
          <w:noProof/>
        </w:rPr>
      </w:pPr>
    </w:p>
    <w:p w14:paraId="3D86CF71" w14:textId="4969B89D" w:rsidR="00527141" w:rsidRDefault="00527141" w:rsidP="00361CA9">
      <w:pPr>
        <w:jc w:val="both"/>
        <w:rPr>
          <w:rFonts w:ascii="Arial" w:hAnsi="Arial" w:cs="Arial"/>
        </w:rPr>
      </w:pPr>
      <w:r>
        <w:rPr>
          <w:rFonts w:ascii="Arial" w:hAnsi="Arial"/>
          <w:noProof/>
        </w:rPr>
        <w:drawing>
          <wp:inline distT="0" distB="0" distL="0" distR="0" wp14:anchorId="4E6380C9" wp14:editId="139061F1">
            <wp:extent cx="4680000" cy="3120000"/>
            <wp:effectExtent l="0" t="0" r="6350" b="444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34CA46C9" w14:textId="4241F934" w:rsidR="00E50B9A" w:rsidRDefault="00E50B9A" w:rsidP="00361CA9">
      <w:pPr>
        <w:jc w:val="both"/>
        <w:rPr>
          <w:rFonts w:ascii="Arial" w:hAnsi="Arial" w:cs="Arial"/>
        </w:rPr>
      </w:pPr>
      <w:r>
        <w:rPr>
          <w:rFonts w:ascii="Arial" w:hAnsi="Arial"/>
        </w:rPr>
        <w:t xml:space="preserve">La ligne de production a été adaptée individuellement à l’espace disponible </w:t>
      </w:r>
      <w:r>
        <w:rPr>
          <w:rFonts w:ascii="Arial" w:hAnsi="Arial"/>
          <w:color w:val="202124"/>
          <w:shd w:val="clear" w:color="auto" w:fill="FFFFFF"/>
        </w:rPr>
        <w:t xml:space="preserve">© </w:t>
      </w:r>
      <w:proofErr w:type="spellStart"/>
      <w:r>
        <w:rPr>
          <w:rFonts w:ascii="Arial" w:hAnsi="Arial"/>
        </w:rPr>
        <w:t>LiSEC</w:t>
      </w:r>
      <w:proofErr w:type="spellEnd"/>
    </w:p>
    <w:p w14:paraId="088F3EE7" w14:textId="77777777" w:rsidR="00527141" w:rsidRDefault="00527141" w:rsidP="00361CA9">
      <w:pPr>
        <w:jc w:val="both"/>
        <w:rPr>
          <w:rFonts w:ascii="Arial" w:hAnsi="Arial" w:cs="Arial"/>
        </w:rPr>
      </w:pPr>
    </w:p>
    <w:p w14:paraId="4D3C019D" w14:textId="0FF09175" w:rsidR="00527141" w:rsidRDefault="00527141" w:rsidP="00361CA9">
      <w:pPr>
        <w:jc w:val="both"/>
        <w:rPr>
          <w:rFonts w:ascii="Arial" w:hAnsi="Arial" w:cs="Arial"/>
        </w:rPr>
      </w:pPr>
      <w:r>
        <w:rPr>
          <w:rFonts w:ascii="Arial" w:hAnsi="Arial"/>
          <w:noProof/>
        </w:rPr>
        <w:lastRenderedPageBreak/>
        <w:drawing>
          <wp:inline distT="0" distB="0" distL="0" distR="0" wp14:anchorId="7260C604" wp14:editId="6B990F2D">
            <wp:extent cx="4680000" cy="3120000"/>
            <wp:effectExtent l="0" t="0" r="6350" b="444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5AB96E35" w14:textId="26F472F2" w:rsidR="00E50B9A" w:rsidRDefault="00E50B9A" w:rsidP="00361CA9">
      <w:pPr>
        <w:jc w:val="both"/>
        <w:rPr>
          <w:rFonts w:ascii="Arial" w:hAnsi="Arial" w:cs="Arial"/>
        </w:rPr>
      </w:pPr>
      <w:r>
        <w:rPr>
          <w:rFonts w:ascii="Arial" w:hAnsi="Arial"/>
        </w:rPr>
        <w:t xml:space="preserve">La qualité de la vitre est vérifiée à l’aide d’un dispositif de balayage </w:t>
      </w:r>
      <w:r>
        <w:rPr>
          <w:rFonts w:ascii="Arial" w:hAnsi="Arial"/>
          <w:color w:val="202124"/>
          <w:shd w:val="clear" w:color="auto" w:fill="FFFFFF"/>
        </w:rPr>
        <w:t xml:space="preserve">© </w:t>
      </w:r>
      <w:proofErr w:type="spellStart"/>
      <w:r>
        <w:rPr>
          <w:rFonts w:ascii="Arial" w:hAnsi="Arial"/>
        </w:rPr>
        <w:t>LiSEC</w:t>
      </w:r>
      <w:proofErr w:type="spellEnd"/>
    </w:p>
    <w:p w14:paraId="0DE0C7A7" w14:textId="77777777" w:rsidR="00527141" w:rsidRDefault="00527141" w:rsidP="00361CA9">
      <w:pPr>
        <w:jc w:val="both"/>
        <w:rPr>
          <w:rFonts w:ascii="Arial" w:hAnsi="Arial" w:cs="Arial"/>
        </w:rPr>
      </w:pPr>
    </w:p>
    <w:p w14:paraId="70322665" w14:textId="1216C06D" w:rsidR="00527141" w:rsidRDefault="00527141" w:rsidP="00361CA9">
      <w:pPr>
        <w:jc w:val="both"/>
        <w:rPr>
          <w:rFonts w:ascii="Arial" w:hAnsi="Arial" w:cs="Arial"/>
        </w:rPr>
      </w:pPr>
      <w:r>
        <w:rPr>
          <w:rFonts w:ascii="Arial" w:hAnsi="Arial"/>
          <w:noProof/>
        </w:rPr>
        <w:drawing>
          <wp:inline distT="0" distB="0" distL="0" distR="0" wp14:anchorId="0CF31635" wp14:editId="4E95DB97">
            <wp:extent cx="4680000" cy="3120000"/>
            <wp:effectExtent l="0" t="0" r="6350" b="444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4D50AF41" w14:textId="2DD46D16" w:rsidR="00AE66E6" w:rsidRPr="00AE66E6" w:rsidRDefault="00AE66E6" w:rsidP="00361CA9">
      <w:pPr>
        <w:jc w:val="both"/>
        <w:rPr>
          <w:rFonts w:ascii="Arial" w:hAnsi="Arial" w:cs="Arial"/>
        </w:rPr>
      </w:pPr>
      <w:r>
        <w:rPr>
          <w:rFonts w:ascii="Arial" w:hAnsi="Arial"/>
          <w:color w:val="202124"/>
          <w:shd w:val="clear" w:color="auto" w:fill="FFFFFF"/>
        </w:rPr>
        <w:t xml:space="preserve">La </w:t>
      </w:r>
      <w:proofErr w:type="spellStart"/>
      <w:r>
        <w:rPr>
          <w:rFonts w:ascii="Arial" w:hAnsi="Arial"/>
          <w:color w:val="202124"/>
          <w:shd w:val="clear" w:color="auto" w:fill="FFFFFF"/>
        </w:rPr>
        <w:t>LiSEC</w:t>
      </w:r>
      <w:proofErr w:type="spellEnd"/>
      <w:r>
        <w:rPr>
          <w:rFonts w:ascii="Arial" w:hAnsi="Arial"/>
          <w:color w:val="202124"/>
          <w:shd w:val="clear" w:color="auto" w:fill="FFFFFF"/>
        </w:rPr>
        <w:t xml:space="preserve"> RSV-B © </w:t>
      </w:r>
      <w:proofErr w:type="spellStart"/>
      <w:r>
        <w:rPr>
          <w:rFonts w:ascii="Arial" w:hAnsi="Arial"/>
        </w:rPr>
        <w:t>LiSEC</w:t>
      </w:r>
      <w:proofErr w:type="spellEnd"/>
    </w:p>
    <w:p w14:paraId="74713E06" w14:textId="77777777" w:rsidR="00527141" w:rsidRPr="00AE66E6" w:rsidRDefault="00527141" w:rsidP="00361CA9">
      <w:pPr>
        <w:jc w:val="both"/>
        <w:rPr>
          <w:rFonts w:ascii="Arial" w:hAnsi="Arial" w:cs="Arial"/>
        </w:rPr>
      </w:pPr>
    </w:p>
    <w:p w14:paraId="5BAF2032" w14:textId="1508249C" w:rsidR="00527141" w:rsidRDefault="00527141" w:rsidP="00361CA9">
      <w:pPr>
        <w:jc w:val="both"/>
        <w:rPr>
          <w:rFonts w:ascii="Arial" w:hAnsi="Arial" w:cs="Arial"/>
        </w:rPr>
      </w:pPr>
      <w:r>
        <w:rPr>
          <w:rFonts w:ascii="Arial" w:hAnsi="Arial"/>
          <w:noProof/>
        </w:rPr>
        <w:lastRenderedPageBreak/>
        <w:drawing>
          <wp:inline distT="0" distB="0" distL="0" distR="0" wp14:anchorId="37C73337" wp14:editId="27718CAA">
            <wp:extent cx="4680000" cy="3120000"/>
            <wp:effectExtent l="0" t="0" r="6350" b="444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5C51D04C" w14:textId="79C783E0" w:rsidR="00E50B9A" w:rsidRPr="00E50B9A" w:rsidRDefault="00E50B9A" w:rsidP="00361CA9">
      <w:pPr>
        <w:jc w:val="both"/>
        <w:rPr>
          <w:rFonts w:ascii="Arial" w:hAnsi="Arial" w:cs="Arial"/>
        </w:rPr>
      </w:pPr>
      <w:r>
        <w:rPr>
          <w:rFonts w:ascii="Arial" w:hAnsi="Arial"/>
        </w:rPr>
        <w:t xml:space="preserve">La </w:t>
      </w:r>
      <w:proofErr w:type="spellStart"/>
      <w:r>
        <w:rPr>
          <w:rFonts w:ascii="Arial" w:hAnsi="Arial"/>
        </w:rPr>
        <w:t>LiSEC</w:t>
      </w:r>
      <w:proofErr w:type="spellEnd"/>
      <w:r>
        <w:rPr>
          <w:rFonts w:ascii="Arial" w:hAnsi="Arial"/>
        </w:rPr>
        <w:t xml:space="preserve"> AGP-A </w:t>
      </w:r>
      <w:r>
        <w:rPr>
          <w:rFonts w:ascii="Arial" w:hAnsi="Arial"/>
          <w:color w:val="202124"/>
          <w:shd w:val="clear" w:color="auto" w:fill="FFFFFF"/>
        </w:rPr>
        <w:t xml:space="preserve">© </w:t>
      </w:r>
      <w:proofErr w:type="spellStart"/>
      <w:r>
        <w:rPr>
          <w:rFonts w:ascii="Arial" w:hAnsi="Arial"/>
        </w:rPr>
        <w:t>LiSEC</w:t>
      </w:r>
      <w:proofErr w:type="spellEnd"/>
    </w:p>
    <w:p w14:paraId="47FBE8EF" w14:textId="77777777" w:rsidR="00527141" w:rsidRPr="00E50B9A" w:rsidRDefault="00527141" w:rsidP="00361CA9">
      <w:pPr>
        <w:jc w:val="both"/>
        <w:rPr>
          <w:rFonts w:ascii="Arial" w:hAnsi="Arial" w:cs="Arial"/>
        </w:rPr>
      </w:pPr>
    </w:p>
    <w:p w14:paraId="2FE314F6" w14:textId="77777777" w:rsidR="00E50B9A" w:rsidRDefault="00527141" w:rsidP="00361CA9">
      <w:pPr>
        <w:jc w:val="both"/>
      </w:pPr>
      <w:r>
        <w:rPr>
          <w:rFonts w:ascii="Arial" w:hAnsi="Arial"/>
          <w:noProof/>
        </w:rPr>
        <w:drawing>
          <wp:inline distT="0" distB="0" distL="0" distR="0" wp14:anchorId="726AB198" wp14:editId="43C40AFD">
            <wp:extent cx="4680000" cy="3120000"/>
            <wp:effectExtent l="0" t="0" r="6350" b="444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r>
        <w:t xml:space="preserve"> </w:t>
      </w:r>
    </w:p>
    <w:p w14:paraId="4C415726" w14:textId="2A929E8F" w:rsidR="00E50B9A" w:rsidRDefault="00E50B9A" w:rsidP="00361CA9">
      <w:pPr>
        <w:jc w:val="both"/>
      </w:pPr>
      <w:r>
        <w:t xml:space="preserve">L’installation d’enduction de </w:t>
      </w:r>
      <w:proofErr w:type="spellStart"/>
      <w:r>
        <w:t>LiSEC</w:t>
      </w:r>
      <w:proofErr w:type="spellEnd"/>
      <w:r>
        <w:t xml:space="preserve"> VFL-1F </w:t>
      </w:r>
      <w:r>
        <w:rPr>
          <w:rFonts w:ascii="Arial" w:hAnsi="Arial"/>
          <w:color w:val="202124"/>
          <w:shd w:val="clear" w:color="auto" w:fill="FFFFFF"/>
        </w:rPr>
        <w:t xml:space="preserve">© </w:t>
      </w:r>
      <w:proofErr w:type="spellStart"/>
      <w:r>
        <w:rPr>
          <w:rFonts w:ascii="Arial" w:hAnsi="Arial"/>
          <w:color w:val="202124"/>
          <w:shd w:val="clear" w:color="auto" w:fill="FFFFFF"/>
        </w:rPr>
        <w:t>LiSEC</w:t>
      </w:r>
      <w:proofErr w:type="spellEnd"/>
    </w:p>
    <w:p w14:paraId="4B9FDB40" w14:textId="21261005" w:rsidR="00527141" w:rsidRDefault="00E50B9A" w:rsidP="00361CA9">
      <w:pPr>
        <w:jc w:val="both"/>
        <w:rPr>
          <w:rFonts w:ascii="Arial" w:hAnsi="Arial" w:cs="Arial"/>
        </w:rPr>
      </w:pPr>
      <w:r>
        <w:rPr>
          <w:noProof/>
        </w:rPr>
        <w:lastRenderedPageBreak/>
        <w:drawing>
          <wp:inline distT="0" distB="0" distL="0" distR="0" wp14:anchorId="50D43AB7" wp14:editId="0EAC0594">
            <wp:extent cx="4680000" cy="3122927"/>
            <wp:effectExtent l="0" t="0" r="635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80000" cy="3122927"/>
                    </a:xfrm>
                    <a:prstGeom prst="rect">
                      <a:avLst/>
                    </a:prstGeom>
                    <a:noFill/>
                    <a:ln>
                      <a:noFill/>
                    </a:ln>
                  </pic:spPr>
                </pic:pic>
              </a:graphicData>
            </a:graphic>
          </wp:inline>
        </w:drawing>
      </w:r>
    </w:p>
    <w:p w14:paraId="303783B4" w14:textId="610F2A1B" w:rsidR="00FD2040" w:rsidRDefault="00E50B9A" w:rsidP="00FD2040">
      <w:pPr>
        <w:widowControl w:val="0"/>
        <w:spacing w:after="0" w:line="240" w:lineRule="auto"/>
        <w:jc w:val="both"/>
        <w:rPr>
          <w:rFonts w:ascii="Arial" w:hAnsi="Arial"/>
          <w:color w:val="202124"/>
          <w:shd w:val="clear" w:color="auto" w:fill="FFFFFF"/>
        </w:rPr>
      </w:pPr>
      <w:r>
        <w:rPr>
          <w:rFonts w:ascii="Arial" w:hAnsi="Arial"/>
          <w:color w:val="202124"/>
          <w:shd w:val="clear" w:color="auto" w:fill="FFFFFF"/>
        </w:rPr>
        <w:t xml:space="preserve">L’applicateur TPA © </w:t>
      </w:r>
      <w:proofErr w:type="spellStart"/>
      <w:r>
        <w:rPr>
          <w:rFonts w:ascii="Arial" w:hAnsi="Arial"/>
          <w:color w:val="202124"/>
          <w:shd w:val="clear" w:color="auto" w:fill="FFFFFF"/>
        </w:rPr>
        <w:t>LiSEC</w:t>
      </w:r>
      <w:proofErr w:type="spellEnd"/>
    </w:p>
    <w:bookmarkEnd w:id="2"/>
    <w:p w14:paraId="22185AEF" w14:textId="77777777" w:rsidR="00D013F9" w:rsidRPr="00C97928" w:rsidRDefault="00D013F9" w:rsidP="00D013F9">
      <w:pPr>
        <w:widowControl w:val="0"/>
        <w:spacing w:after="0" w:line="240" w:lineRule="auto"/>
        <w:jc w:val="both"/>
        <w:rPr>
          <w:rFonts w:ascii="Arial" w:hAnsi="Arial" w:cs="Arial"/>
          <w:b/>
          <w:sz w:val="18"/>
        </w:rPr>
      </w:pPr>
    </w:p>
    <w:bookmarkEnd w:id="3"/>
    <w:p w14:paraId="1B6558EB" w14:textId="77777777" w:rsidR="00D013F9" w:rsidRPr="00C97928" w:rsidRDefault="00D013F9" w:rsidP="00D013F9">
      <w:pPr>
        <w:widowControl w:val="0"/>
        <w:spacing w:after="0" w:line="240" w:lineRule="auto"/>
        <w:jc w:val="both"/>
        <w:rPr>
          <w:rFonts w:ascii="Arial" w:hAnsi="Arial" w:cs="Arial"/>
          <w:b/>
          <w:sz w:val="20"/>
          <w:szCs w:val="20"/>
        </w:rPr>
      </w:pPr>
      <w:r>
        <w:rPr>
          <w:rFonts w:ascii="Arial" w:hAnsi="Arial"/>
          <w:b/>
          <w:sz w:val="20"/>
        </w:rPr>
        <w:t xml:space="preserve">À propos de </w:t>
      </w:r>
      <w:proofErr w:type="spellStart"/>
      <w:r>
        <w:rPr>
          <w:rFonts w:ascii="Arial" w:hAnsi="Arial"/>
          <w:b/>
          <w:sz w:val="20"/>
        </w:rPr>
        <w:t>LiSEC</w:t>
      </w:r>
      <w:proofErr w:type="spellEnd"/>
    </w:p>
    <w:p w14:paraId="276C3DBE" w14:textId="77777777" w:rsidR="00513F88" w:rsidRPr="00C97928" w:rsidRDefault="00513F88" w:rsidP="00513F88">
      <w:pPr>
        <w:widowControl w:val="0"/>
        <w:spacing w:after="0" w:line="240" w:lineRule="auto"/>
        <w:jc w:val="both"/>
        <w:rPr>
          <w:rFonts w:ascii="Arial" w:hAnsi="Arial" w:cs="Arial"/>
          <w:sz w:val="20"/>
          <w:szCs w:val="20"/>
        </w:rPr>
      </w:pPr>
      <w:bookmarkStart w:id="4" w:name="_Hlk97719094"/>
      <w:proofErr w:type="spellStart"/>
      <w:r>
        <w:rPr>
          <w:rFonts w:ascii="Arial" w:hAnsi="Arial"/>
          <w:sz w:val="20"/>
        </w:rPr>
        <w:t>LiSEC</w:t>
      </w:r>
      <w:proofErr w:type="spellEnd"/>
      <w:r>
        <w:rPr>
          <w:rFonts w:ascii="Arial" w:hAnsi="Arial"/>
          <w:sz w:val="20"/>
        </w:rPr>
        <w:t xml:space="preserve">, dont le siège social est installé à Seitenstetten/Amstetten,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2022, le groupe a généré, avec 1 200 employés dans plus de 20 filiales, un chiffre </w:t>
      </w:r>
      <w:proofErr w:type="gramStart"/>
      <w:r>
        <w:rPr>
          <w:rFonts w:ascii="Arial" w:hAnsi="Arial"/>
          <w:sz w:val="20"/>
        </w:rPr>
        <w:t>d’affaire</w:t>
      </w:r>
      <w:proofErr w:type="gramEnd"/>
      <w:r>
        <w:rPr>
          <w:rFonts w:ascii="Arial" w:hAnsi="Arial"/>
          <w:sz w:val="20"/>
        </w:rPr>
        <w:t xml:space="preserve"> global de plus de 240 millions d’euros dont plus de 90 % à l’export. </w:t>
      </w:r>
      <w:proofErr w:type="spellStart"/>
      <w:r>
        <w:rPr>
          <w:rFonts w:ascii="Arial" w:hAnsi="Arial"/>
          <w:sz w:val="20"/>
        </w:rPr>
        <w:t>LiSEC</w:t>
      </w:r>
      <w:proofErr w:type="spellEnd"/>
      <w:r>
        <w:rPr>
          <w:rFonts w:ascii="Arial" w:hAnsi="Arial"/>
          <w:sz w:val="20"/>
        </w:rPr>
        <w:t xml:space="preserve"> développe et produit des systèmes de découpe et de tri de verre, des composants individuels et des lignes de production complètes pour la fabrication de verre isolant et de verre feuilleté ainsi que des machines d’usinage de bordures de verre et des installations de trempe. Riche d’une technique fiable et de solutions d’automatisation intelligentes, </w:t>
      </w:r>
      <w:proofErr w:type="spellStart"/>
      <w:r>
        <w:rPr>
          <w:rFonts w:ascii="Arial" w:hAnsi="Arial"/>
          <w:sz w:val="20"/>
        </w:rPr>
        <w:t>LiSEC</w:t>
      </w:r>
      <w:proofErr w:type="spellEnd"/>
      <w:r>
        <w:rPr>
          <w:rFonts w:ascii="Arial" w:hAnsi="Arial"/>
          <w:sz w:val="20"/>
        </w:rPr>
        <w:t xml:space="preserve"> impose de nouvelles références en termes de qualité et de technologie et contribue fortement au succès de ses clients.</w:t>
      </w:r>
    </w:p>
    <w:bookmarkEnd w:id="4"/>
    <w:p w14:paraId="18E921D2" w14:textId="77777777" w:rsidR="00D013F9" w:rsidRPr="00C97928" w:rsidRDefault="00D013F9" w:rsidP="00D013F9">
      <w:pPr>
        <w:spacing w:after="0" w:line="240" w:lineRule="auto"/>
        <w:rPr>
          <w:rFonts w:ascii="Arial" w:hAnsi="Arial" w:cs="Arial"/>
          <w:sz w:val="20"/>
          <w:szCs w:val="20"/>
        </w:rPr>
      </w:pPr>
    </w:p>
    <w:p w14:paraId="42C330C8" w14:textId="77777777"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r>
        <w:rPr>
          <w:rFonts w:ascii="Arial" w:hAnsi="Arial"/>
          <w:b/>
          <w:color w:val="000000"/>
          <w:sz w:val="20"/>
        </w:rPr>
        <w:t>Informations complémentaires :</w:t>
      </w:r>
      <w:r>
        <w:rPr>
          <w:rFonts w:ascii="Arial" w:hAnsi="Arial"/>
          <w:color w:val="000000"/>
          <w:sz w:val="20"/>
        </w:rPr>
        <w:br/>
      </w:r>
      <w:r>
        <w:rPr>
          <w:rFonts w:ascii="Arial" w:hAnsi="Arial"/>
          <w:sz w:val="20"/>
        </w:rPr>
        <w:t>Claudia GUSCHLBAUER</w:t>
      </w:r>
    </w:p>
    <w:p w14:paraId="55334B09" w14:textId="76E11702"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r>
        <w:rPr>
          <w:rFonts w:ascii="Arial" w:hAnsi="Arial"/>
          <w:sz w:val="20"/>
        </w:rPr>
        <w:t>Directrice Marketing et Communication d’entreprise</w:t>
      </w:r>
    </w:p>
    <w:p w14:paraId="2BD28511" w14:textId="77777777"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p>
    <w:p w14:paraId="4647AD20" w14:textId="77777777" w:rsidR="00D013F9" w:rsidRPr="00DD6600" w:rsidRDefault="00D013F9" w:rsidP="00D013F9">
      <w:pPr>
        <w:spacing w:after="0" w:line="240" w:lineRule="auto"/>
        <w:rPr>
          <w:rFonts w:ascii="Arial" w:hAnsi="Arial" w:cs="Arial"/>
        </w:rPr>
      </w:pPr>
      <w:proofErr w:type="spellStart"/>
      <w:r>
        <w:rPr>
          <w:rFonts w:ascii="Arial" w:hAnsi="Arial"/>
          <w:sz w:val="20"/>
        </w:rPr>
        <w:t>LiSEC</w:t>
      </w:r>
      <w:proofErr w:type="spellEnd"/>
      <w:r>
        <w:rPr>
          <w:rFonts w:ascii="Arial" w:hAnsi="Arial"/>
          <w:sz w:val="20"/>
        </w:rPr>
        <w:t xml:space="preserve"> </w:t>
      </w:r>
      <w:proofErr w:type="spellStart"/>
      <w:r>
        <w:rPr>
          <w:rFonts w:ascii="Arial" w:hAnsi="Arial"/>
          <w:sz w:val="20"/>
        </w:rPr>
        <w:t>Austria</w:t>
      </w:r>
      <w:proofErr w:type="spellEnd"/>
      <w:r>
        <w:rPr>
          <w:rFonts w:ascii="Arial" w:hAnsi="Arial"/>
          <w:sz w:val="20"/>
        </w:rPr>
        <w:t xml:space="preserve"> GmbH</w:t>
      </w:r>
      <w:r>
        <w:rPr>
          <w:rFonts w:ascii="Arial" w:hAnsi="Arial"/>
          <w:sz w:val="20"/>
        </w:rPr>
        <w:br/>
        <w:t>Peter-Lisec-</w:t>
      </w:r>
      <w:proofErr w:type="spellStart"/>
      <w:r>
        <w:rPr>
          <w:rFonts w:ascii="Arial" w:hAnsi="Arial"/>
          <w:sz w:val="20"/>
        </w:rPr>
        <w:t>Str</w:t>
      </w:r>
      <w:proofErr w:type="spellEnd"/>
      <w:r>
        <w:rPr>
          <w:rFonts w:ascii="Arial" w:hAnsi="Arial"/>
          <w:sz w:val="20"/>
        </w:rPr>
        <w:t>. 1 – 3353 Seitenstetten, Autriche</w:t>
      </w:r>
      <w:r>
        <w:rPr>
          <w:rFonts w:ascii="Arial" w:hAnsi="Arial"/>
          <w:sz w:val="20"/>
        </w:rPr>
        <w:br/>
        <w:t>Tél. : +43 7477 405-1115</w:t>
      </w:r>
      <w:r>
        <w:rPr>
          <w:rFonts w:ascii="Arial" w:hAnsi="Arial"/>
          <w:sz w:val="20"/>
        </w:rPr>
        <w:br/>
        <w:t>Mobile : +43 660 871 58 03</w:t>
      </w:r>
      <w:r>
        <w:rPr>
          <w:rFonts w:ascii="Arial" w:hAnsi="Arial"/>
          <w:sz w:val="20"/>
        </w:rPr>
        <w:br/>
      </w:r>
      <w:proofErr w:type="gramStart"/>
      <w:r>
        <w:rPr>
          <w:rFonts w:ascii="Arial" w:hAnsi="Arial"/>
          <w:sz w:val="20"/>
        </w:rPr>
        <w:t>E-mail</w:t>
      </w:r>
      <w:proofErr w:type="gramEnd"/>
      <w:r>
        <w:rPr>
          <w:rFonts w:ascii="Arial" w:hAnsi="Arial"/>
          <w:sz w:val="20"/>
        </w:rPr>
        <w:t xml:space="preserve"> : </w:t>
      </w:r>
      <w:hyperlink r:id="rId20" w:history="1">
        <w:r>
          <w:rPr>
            <w:rStyle w:val="Hyperlink"/>
            <w:rFonts w:ascii="Arial" w:hAnsi="Arial"/>
            <w:sz w:val="20"/>
          </w:rPr>
          <w:t>claudia.guschlbauer@lisec.com</w:t>
        </w:r>
      </w:hyperlink>
      <w:r>
        <w:rPr>
          <w:rFonts w:ascii="Arial" w:hAnsi="Arial"/>
          <w:sz w:val="20"/>
        </w:rPr>
        <w:t xml:space="preserve"> – </w:t>
      </w:r>
      <w:hyperlink r:id="rId21" w:history="1">
        <w:r>
          <w:rPr>
            <w:rStyle w:val="Hyperlink"/>
            <w:rFonts w:ascii="Arial" w:hAnsi="Arial"/>
            <w:sz w:val="20"/>
          </w:rPr>
          <w:t>www.lisec.com</w:t>
        </w:r>
      </w:hyperlink>
    </w:p>
    <w:p w14:paraId="1825A809" w14:textId="77777777" w:rsidR="00D013F9" w:rsidRPr="006932A4" w:rsidRDefault="00D013F9" w:rsidP="006932A4"/>
    <w:sectPr w:rsidR="00D013F9" w:rsidRPr="006932A4">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A84F1A" w:rsidRDefault="006932A4" w:rsidP="006932A4">
    <w:pPr>
      <w:pStyle w:val="Kopfzeile"/>
      <w:rPr>
        <w:b/>
        <w:sz w:val="17"/>
        <w:szCs w:val="17"/>
      </w:rPr>
    </w:pPr>
  </w:p>
  <w:p w14:paraId="6177C57A" w14:textId="77777777" w:rsidR="006932A4" w:rsidRPr="00A84F1A" w:rsidRDefault="006932A4" w:rsidP="006932A4">
    <w:pPr>
      <w:pStyle w:val="Kopfzeile"/>
      <w:rPr>
        <w:b/>
        <w:sz w:val="17"/>
        <w:szCs w:val="17"/>
      </w:rPr>
    </w:pPr>
  </w:p>
  <w:p w14:paraId="4ADFC824" w14:textId="77777777" w:rsidR="006932A4" w:rsidRPr="00A84F1A" w:rsidRDefault="006932A4" w:rsidP="006932A4">
    <w:pPr>
      <w:pStyle w:val="Kopfzeile"/>
      <w:rPr>
        <w:b/>
        <w:sz w:val="16"/>
        <w:szCs w:val="16"/>
      </w:rPr>
    </w:pPr>
  </w:p>
  <w:p w14:paraId="060DD95C" w14:textId="77777777" w:rsidR="006932A4" w:rsidRPr="00FC0621" w:rsidRDefault="006932A4" w:rsidP="006932A4">
    <w:pPr>
      <w:pStyle w:val="Kopfzeile"/>
      <w:rPr>
        <w:b/>
      </w:rPr>
    </w:pPr>
  </w:p>
  <w:p w14:paraId="5C584E73" w14:textId="77777777" w:rsidR="006932A4" w:rsidRPr="00FC0621" w:rsidRDefault="006932A4" w:rsidP="006932A4">
    <w:pPr>
      <w:pStyle w:val="Kopfzeile"/>
      <w:rPr>
        <w:b/>
      </w:rPr>
    </w:pPr>
  </w:p>
  <w:p w14:paraId="42C67C2D" w14:textId="77777777" w:rsidR="006932A4" w:rsidRPr="006C55E8" w:rsidRDefault="006932A4" w:rsidP="006932A4">
    <w:pPr>
      <w:pStyle w:val="Kopfzeile"/>
      <w:rPr>
        <w:rFonts w:ascii="Arial" w:hAnsi="Arial" w:cs="Arial"/>
        <w:b/>
      </w:rPr>
    </w:pPr>
    <w:r>
      <w:rPr>
        <w:rFonts w:ascii="Arial" w:hAnsi="Arial"/>
        <w:b/>
        <w:noProof/>
      </w:rPr>
      <w:drawing>
        <wp:anchor distT="0" distB="0" distL="114300" distR="114300" simplePos="0" relativeHeight="251659264" behindDoc="1" locked="0" layoutInCell="1" allowOverlap="1" wp14:anchorId="4538A93D" wp14:editId="29C1609A">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5396A17D" w14:textId="77777777" w:rsidR="006932A4" w:rsidRPr="00E27439" w:rsidRDefault="006932A4" w:rsidP="006932A4">
    <w:pPr>
      <w:pStyle w:val="Kopfzeile"/>
      <w:rPr>
        <w:lang w:val="it-IT"/>
      </w:rPr>
    </w:pPr>
  </w:p>
  <w:p w14:paraId="54BE1BC4" w14:textId="77777777" w:rsidR="006932A4" w:rsidRPr="00E27439" w:rsidRDefault="006932A4" w:rsidP="006932A4">
    <w:pPr>
      <w:pStyle w:val="Kopfzeile"/>
      <w:rPr>
        <w:lang w:val="it-IT"/>
      </w:rPr>
    </w:pPr>
  </w:p>
  <w:p w14:paraId="093CEC86" w14:textId="77777777" w:rsidR="00461B34" w:rsidRPr="006932A4" w:rsidRDefault="00461B34" w:rsidP="006932A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9BE"/>
    <w:rsid w:val="000148B0"/>
    <w:rsid w:val="00016F13"/>
    <w:rsid w:val="00033B6D"/>
    <w:rsid w:val="00036A18"/>
    <w:rsid w:val="00044D82"/>
    <w:rsid w:val="000520A5"/>
    <w:rsid w:val="00054965"/>
    <w:rsid w:val="000637EE"/>
    <w:rsid w:val="00067852"/>
    <w:rsid w:val="00067F46"/>
    <w:rsid w:val="000705DB"/>
    <w:rsid w:val="00074E75"/>
    <w:rsid w:val="00076437"/>
    <w:rsid w:val="00080D9F"/>
    <w:rsid w:val="00082E92"/>
    <w:rsid w:val="000866C6"/>
    <w:rsid w:val="00087E15"/>
    <w:rsid w:val="00090DC4"/>
    <w:rsid w:val="00091C73"/>
    <w:rsid w:val="000932C6"/>
    <w:rsid w:val="00094EA1"/>
    <w:rsid w:val="000A1AF9"/>
    <w:rsid w:val="000D4BD4"/>
    <w:rsid w:val="000E0296"/>
    <w:rsid w:val="000E074C"/>
    <w:rsid w:val="000E564A"/>
    <w:rsid w:val="000E6059"/>
    <w:rsid w:val="000F7DD3"/>
    <w:rsid w:val="00102881"/>
    <w:rsid w:val="00105BE9"/>
    <w:rsid w:val="001067A8"/>
    <w:rsid w:val="00107149"/>
    <w:rsid w:val="001120A8"/>
    <w:rsid w:val="001130FC"/>
    <w:rsid w:val="00120F6F"/>
    <w:rsid w:val="001239B3"/>
    <w:rsid w:val="001269AC"/>
    <w:rsid w:val="001345D3"/>
    <w:rsid w:val="001404A7"/>
    <w:rsid w:val="00152295"/>
    <w:rsid w:val="001559BB"/>
    <w:rsid w:val="00163D2C"/>
    <w:rsid w:val="0016453C"/>
    <w:rsid w:val="00165A9F"/>
    <w:rsid w:val="0017031A"/>
    <w:rsid w:val="001756C1"/>
    <w:rsid w:val="00193083"/>
    <w:rsid w:val="001C5B88"/>
    <w:rsid w:val="001D46CE"/>
    <w:rsid w:val="001D5A95"/>
    <w:rsid w:val="001D635A"/>
    <w:rsid w:val="001D786B"/>
    <w:rsid w:val="001E70BD"/>
    <w:rsid w:val="001F2991"/>
    <w:rsid w:val="001F2EA1"/>
    <w:rsid w:val="001F419C"/>
    <w:rsid w:val="00200626"/>
    <w:rsid w:val="00207E6F"/>
    <w:rsid w:val="00211BC8"/>
    <w:rsid w:val="00212D93"/>
    <w:rsid w:val="0022441C"/>
    <w:rsid w:val="002256E5"/>
    <w:rsid w:val="00227A57"/>
    <w:rsid w:val="002359BF"/>
    <w:rsid w:val="00246A37"/>
    <w:rsid w:val="00256E16"/>
    <w:rsid w:val="00264A2C"/>
    <w:rsid w:val="0028017A"/>
    <w:rsid w:val="00283E6F"/>
    <w:rsid w:val="002A004B"/>
    <w:rsid w:val="002A0277"/>
    <w:rsid w:val="002A7919"/>
    <w:rsid w:val="002B3315"/>
    <w:rsid w:val="002B395C"/>
    <w:rsid w:val="002B411D"/>
    <w:rsid w:val="002B6E3E"/>
    <w:rsid w:val="002C11FE"/>
    <w:rsid w:val="002C2080"/>
    <w:rsid w:val="002C4FF7"/>
    <w:rsid w:val="002D1BC6"/>
    <w:rsid w:val="002D3618"/>
    <w:rsid w:val="002D48AA"/>
    <w:rsid w:val="002E3C73"/>
    <w:rsid w:val="002F22EA"/>
    <w:rsid w:val="002F35C5"/>
    <w:rsid w:val="002F76D9"/>
    <w:rsid w:val="003019B3"/>
    <w:rsid w:val="00303CAF"/>
    <w:rsid w:val="00310671"/>
    <w:rsid w:val="003135E8"/>
    <w:rsid w:val="003143A3"/>
    <w:rsid w:val="0032517D"/>
    <w:rsid w:val="003267EB"/>
    <w:rsid w:val="00331323"/>
    <w:rsid w:val="00342B7A"/>
    <w:rsid w:val="003443CE"/>
    <w:rsid w:val="0034487D"/>
    <w:rsid w:val="00361CA9"/>
    <w:rsid w:val="00361DD1"/>
    <w:rsid w:val="003624E8"/>
    <w:rsid w:val="00383547"/>
    <w:rsid w:val="003856B1"/>
    <w:rsid w:val="00386458"/>
    <w:rsid w:val="00392AB9"/>
    <w:rsid w:val="00392FE5"/>
    <w:rsid w:val="0039765D"/>
    <w:rsid w:val="003A2C6D"/>
    <w:rsid w:val="003A3698"/>
    <w:rsid w:val="003A56D1"/>
    <w:rsid w:val="003B1DFD"/>
    <w:rsid w:val="003B539D"/>
    <w:rsid w:val="003C3FE6"/>
    <w:rsid w:val="003D0625"/>
    <w:rsid w:val="003D7119"/>
    <w:rsid w:val="003E0BD3"/>
    <w:rsid w:val="003E3339"/>
    <w:rsid w:val="00400E96"/>
    <w:rsid w:val="004065F2"/>
    <w:rsid w:val="00406672"/>
    <w:rsid w:val="0042061E"/>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F3D"/>
    <w:rsid w:val="004E1701"/>
    <w:rsid w:val="004F198C"/>
    <w:rsid w:val="004F3ED0"/>
    <w:rsid w:val="004F4580"/>
    <w:rsid w:val="004F4C2F"/>
    <w:rsid w:val="004F6508"/>
    <w:rsid w:val="005026E8"/>
    <w:rsid w:val="00506039"/>
    <w:rsid w:val="0050655D"/>
    <w:rsid w:val="00506734"/>
    <w:rsid w:val="005101F7"/>
    <w:rsid w:val="00511220"/>
    <w:rsid w:val="00513F88"/>
    <w:rsid w:val="00527141"/>
    <w:rsid w:val="0053238B"/>
    <w:rsid w:val="00532FFD"/>
    <w:rsid w:val="0054013F"/>
    <w:rsid w:val="005437F5"/>
    <w:rsid w:val="0055012E"/>
    <w:rsid w:val="005514E9"/>
    <w:rsid w:val="00557126"/>
    <w:rsid w:val="00572956"/>
    <w:rsid w:val="00577B4A"/>
    <w:rsid w:val="0058159E"/>
    <w:rsid w:val="00581FF6"/>
    <w:rsid w:val="00592741"/>
    <w:rsid w:val="005A79C7"/>
    <w:rsid w:val="005B298A"/>
    <w:rsid w:val="005C0FCB"/>
    <w:rsid w:val="005E3A2D"/>
    <w:rsid w:val="005E44D7"/>
    <w:rsid w:val="005F39E7"/>
    <w:rsid w:val="005F4DEC"/>
    <w:rsid w:val="00610188"/>
    <w:rsid w:val="00612282"/>
    <w:rsid w:val="006162B2"/>
    <w:rsid w:val="00625169"/>
    <w:rsid w:val="00636D04"/>
    <w:rsid w:val="00643121"/>
    <w:rsid w:val="00650F8C"/>
    <w:rsid w:val="00651DEB"/>
    <w:rsid w:val="00654250"/>
    <w:rsid w:val="00661610"/>
    <w:rsid w:val="006629CC"/>
    <w:rsid w:val="00670242"/>
    <w:rsid w:val="006761B1"/>
    <w:rsid w:val="00685F10"/>
    <w:rsid w:val="006932A4"/>
    <w:rsid w:val="006944F5"/>
    <w:rsid w:val="006A2F2B"/>
    <w:rsid w:val="006A3C7B"/>
    <w:rsid w:val="006A6432"/>
    <w:rsid w:val="006B3C93"/>
    <w:rsid w:val="006B45AA"/>
    <w:rsid w:val="006B7523"/>
    <w:rsid w:val="006C13CF"/>
    <w:rsid w:val="006D3508"/>
    <w:rsid w:val="006D782A"/>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3B2B"/>
    <w:rsid w:val="00773FD8"/>
    <w:rsid w:val="00777B66"/>
    <w:rsid w:val="00780686"/>
    <w:rsid w:val="00780A88"/>
    <w:rsid w:val="00787337"/>
    <w:rsid w:val="00787984"/>
    <w:rsid w:val="00791DBE"/>
    <w:rsid w:val="007951DB"/>
    <w:rsid w:val="007A027C"/>
    <w:rsid w:val="007A1165"/>
    <w:rsid w:val="007B2378"/>
    <w:rsid w:val="007C2D23"/>
    <w:rsid w:val="007C6FC3"/>
    <w:rsid w:val="007D7EFE"/>
    <w:rsid w:val="007E1118"/>
    <w:rsid w:val="008017D3"/>
    <w:rsid w:val="00804FAD"/>
    <w:rsid w:val="00805EFD"/>
    <w:rsid w:val="00815CE0"/>
    <w:rsid w:val="008207BB"/>
    <w:rsid w:val="00826E97"/>
    <w:rsid w:val="008279C4"/>
    <w:rsid w:val="00835A05"/>
    <w:rsid w:val="00842111"/>
    <w:rsid w:val="00842636"/>
    <w:rsid w:val="0084623F"/>
    <w:rsid w:val="0086758B"/>
    <w:rsid w:val="008941EC"/>
    <w:rsid w:val="00895754"/>
    <w:rsid w:val="008965E0"/>
    <w:rsid w:val="008A015E"/>
    <w:rsid w:val="008A1E9D"/>
    <w:rsid w:val="008A66A5"/>
    <w:rsid w:val="008B0BA2"/>
    <w:rsid w:val="008B2775"/>
    <w:rsid w:val="008D1336"/>
    <w:rsid w:val="008E30E7"/>
    <w:rsid w:val="009004B9"/>
    <w:rsid w:val="009031B3"/>
    <w:rsid w:val="0090671C"/>
    <w:rsid w:val="009143D3"/>
    <w:rsid w:val="00920B28"/>
    <w:rsid w:val="009328EC"/>
    <w:rsid w:val="00932CAF"/>
    <w:rsid w:val="00933A8D"/>
    <w:rsid w:val="00937375"/>
    <w:rsid w:val="009377DC"/>
    <w:rsid w:val="00943AAE"/>
    <w:rsid w:val="009619F0"/>
    <w:rsid w:val="00963272"/>
    <w:rsid w:val="00964A35"/>
    <w:rsid w:val="00970410"/>
    <w:rsid w:val="00971192"/>
    <w:rsid w:val="009717B8"/>
    <w:rsid w:val="00977116"/>
    <w:rsid w:val="009850EE"/>
    <w:rsid w:val="00991AA7"/>
    <w:rsid w:val="009949C2"/>
    <w:rsid w:val="009A05D5"/>
    <w:rsid w:val="009A747B"/>
    <w:rsid w:val="009B29E3"/>
    <w:rsid w:val="009D07EC"/>
    <w:rsid w:val="009F038A"/>
    <w:rsid w:val="009F6A32"/>
    <w:rsid w:val="009F7357"/>
    <w:rsid w:val="00A05E0F"/>
    <w:rsid w:val="00A10120"/>
    <w:rsid w:val="00A16C5E"/>
    <w:rsid w:val="00A271C8"/>
    <w:rsid w:val="00A41273"/>
    <w:rsid w:val="00A431C8"/>
    <w:rsid w:val="00A65DF5"/>
    <w:rsid w:val="00A70F28"/>
    <w:rsid w:val="00A76123"/>
    <w:rsid w:val="00A82E95"/>
    <w:rsid w:val="00A832E3"/>
    <w:rsid w:val="00A91C3A"/>
    <w:rsid w:val="00A965FD"/>
    <w:rsid w:val="00AB2050"/>
    <w:rsid w:val="00AB32D8"/>
    <w:rsid w:val="00AB7DBE"/>
    <w:rsid w:val="00AC4F3B"/>
    <w:rsid w:val="00AC6942"/>
    <w:rsid w:val="00AD5371"/>
    <w:rsid w:val="00AD7E5C"/>
    <w:rsid w:val="00AE66E6"/>
    <w:rsid w:val="00AF0666"/>
    <w:rsid w:val="00AF20C0"/>
    <w:rsid w:val="00AF25E0"/>
    <w:rsid w:val="00AF269E"/>
    <w:rsid w:val="00AF3460"/>
    <w:rsid w:val="00AF347F"/>
    <w:rsid w:val="00AF5164"/>
    <w:rsid w:val="00AF6BC1"/>
    <w:rsid w:val="00B02D8B"/>
    <w:rsid w:val="00B050A1"/>
    <w:rsid w:val="00B15A3A"/>
    <w:rsid w:val="00B31685"/>
    <w:rsid w:val="00B40A5C"/>
    <w:rsid w:val="00B415A8"/>
    <w:rsid w:val="00B42F05"/>
    <w:rsid w:val="00B44521"/>
    <w:rsid w:val="00B47F7A"/>
    <w:rsid w:val="00B701B4"/>
    <w:rsid w:val="00B74B76"/>
    <w:rsid w:val="00B8447E"/>
    <w:rsid w:val="00B96B85"/>
    <w:rsid w:val="00BB04FC"/>
    <w:rsid w:val="00BC3FBF"/>
    <w:rsid w:val="00BC561A"/>
    <w:rsid w:val="00BC6AEF"/>
    <w:rsid w:val="00BC73EE"/>
    <w:rsid w:val="00BD06D5"/>
    <w:rsid w:val="00BD0827"/>
    <w:rsid w:val="00BD1594"/>
    <w:rsid w:val="00BD3E0F"/>
    <w:rsid w:val="00BD4F91"/>
    <w:rsid w:val="00BD65D9"/>
    <w:rsid w:val="00BD682E"/>
    <w:rsid w:val="00BE3444"/>
    <w:rsid w:val="00BE6269"/>
    <w:rsid w:val="00BE7B1D"/>
    <w:rsid w:val="00C0201F"/>
    <w:rsid w:val="00C122B6"/>
    <w:rsid w:val="00C1383F"/>
    <w:rsid w:val="00C14416"/>
    <w:rsid w:val="00C20F21"/>
    <w:rsid w:val="00C5604B"/>
    <w:rsid w:val="00C61506"/>
    <w:rsid w:val="00C64435"/>
    <w:rsid w:val="00C72D76"/>
    <w:rsid w:val="00C90183"/>
    <w:rsid w:val="00C914EB"/>
    <w:rsid w:val="00C96709"/>
    <w:rsid w:val="00C96734"/>
    <w:rsid w:val="00C96AB9"/>
    <w:rsid w:val="00CA415F"/>
    <w:rsid w:val="00CA66A4"/>
    <w:rsid w:val="00CA7A85"/>
    <w:rsid w:val="00CC583E"/>
    <w:rsid w:val="00CC663A"/>
    <w:rsid w:val="00CC71E2"/>
    <w:rsid w:val="00CD2380"/>
    <w:rsid w:val="00CE2C22"/>
    <w:rsid w:val="00CF38AE"/>
    <w:rsid w:val="00D013F9"/>
    <w:rsid w:val="00D0301A"/>
    <w:rsid w:val="00D1288C"/>
    <w:rsid w:val="00D15A88"/>
    <w:rsid w:val="00D15D55"/>
    <w:rsid w:val="00D23BF4"/>
    <w:rsid w:val="00D3205F"/>
    <w:rsid w:val="00D3287A"/>
    <w:rsid w:val="00D41481"/>
    <w:rsid w:val="00D5396E"/>
    <w:rsid w:val="00D54395"/>
    <w:rsid w:val="00D57240"/>
    <w:rsid w:val="00D6532B"/>
    <w:rsid w:val="00D7383F"/>
    <w:rsid w:val="00D86C3D"/>
    <w:rsid w:val="00DA0550"/>
    <w:rsid w:val="00DB5739"/>
    <w:rsid w:val="00DC3674"/>
    <w:rsid w:val="00DC65F2"/>
    <w:rsid w:val="00DD6600"/>
    <w:rsid w:val="00DF109F"/>
    <w:rsid w:val="00DF4003"/>
    <w:rsid w:val="00DF4FC7"/>
    <w:rsid w:val="00E0022A"/>
    <w:rsid w:val="00E17D9F"/>
    <w:rsid w:val="00E205E8"/>
    <w:rsid w:val="00E27439"/>
    <w:rsid w:val="00E33800"/>
    <w:rsid w:val="00E50739"/>
    <w:rsid w:val="00E50B9A"/>
    <w:rsid w:val="00E533D1"/>
    <w:rsid w:val="00E83CD7"/>
    <w:rsid w:val="00E85642"/>
    <w:rsid w:val="00EC14F4"/>
    <w:rsid w:val="00ED6E29"/>
    <w:rsid w:val="00ED7440"/>
    <w:rsid w:val="00EE337C"/>
    <w:rsid w:val="00EE4064"/>
    <w:rsid w:val="00EF4868"/>
    <w:rsid w:val="00EF5199"/>
    <w:rsid w:val="00EF598B"/>
    <w:rsid w:val="00F00BE2"/>
    <w:rsid w:val="00F05A81"/>
    <w:rsid w:val="00F107DE"/>
    <w:rsid w:val="00F124C2"/>
    <w:rsid w:val="00F13690"/>
    <w:rsid w:val="00F16364"/>
    <w:rsid w:val="00F3709C"/>
    <w:rsid w:val="00F43599"/>
    <w:rsid w:val="00F5031A"/>
    <w:rsid w:val="00F514D7"/>
    <w:rsid w:val="00F573F9"/>
    <w:rsid w:val="00F623B1"/>
    <w:rsid w:val="00F64D50"/>
    <w:rsid w:val="00F7151E"/>
    <w:rsid w:val="00F87ECB"/>
    <w:rsid w:val="00F962B4"/>
    <w:rsid w:val="00FA7962"/>
    <w:rsid w:val="00FB2973"/>
    <w:rsid w:val="00FC3EBB"/>
    <w:rsid w:val="00FC5514"/>
    <w:rsid w:val="00FD028D"/>
    <w:rsid w:val="00FD204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32A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Absatz-Standardschriftart"/>
    <w:rsid w:val="008A1E9D"/>
    <w:rPr>
      <w:rFonts w:ascii="Segoe UI" w:hAnsi="Segoe UI" w:cs="Segoe UI" w:hint="default"/>
      <w:color w:val="374151"/>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sec.com/solutions/individual-machines/detail/thermoplastic-spacer/tpa" TargetMode="Externa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https://www.lisec.com/solutions/individual-machines/detail/sealing/cleanseal-vfl-1f"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www.lisec.com/solutions/individual-machines/detail/pressing/agp-a" TargetMode="External"/><Relationship Id="rId14" Type="http://schemas.openxmlformats.org/officeDocument/2006/relationships/image" Target="media/image4.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1355</Words>
  <Characters>8540</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23</cp:revision>
  <cp:lastPrinted>2021-09-28T11:55:00Z</cp:lastPrinted>
  <dcterms:created xsi:type="dcterms:W3CDTF">2023-08-31T11:42:00Z</dcterms:created>
  <dcterms:modified xsi:type="dcterms:W3CDTF">2023-10-12T13:01:00Z</dcterms:modified>
</cp:coreProperties>
</file>