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2F9ED0" w14:textId="2C31C066" w:rsidR="00F872C6" w:rsidRPr="00F872C6" w:rsidRDefault="00F872C6" w:rsidP="00F872C6">
      <w:pPr>
        <w:widowControl w:val="0"/>
        <w:spacing w:after="0" w:line="360" w:lineRule="auto"/>
        <w:jc w:val="both"/>
        <w:rPr>
          <w:rFonts w:ascii="Roboto" w:hAnsi="Roboto"/>
        </w:rPr>
      </w:pPr>
      <w:r>
        <w:rPr>
          <w:rFonts w:ascii="Roboto" w:hAnsi="Roboto"/>
        </w:rPr>
        <w:t xml:space="preserve">Amstetten, Ausztria – </w:t>
      </w:r>
      <w:r w:rsidR="00737562">
        <w:rPr>
          <w:rFonts w:ascii="Roboto" w:hAnsi="Roboto"/>
        </w:rPr>
        <w:t>21/01/2026</w:t>
      </w:r>
    </w:p>
    <w:p w14:paraId="6FEC6568" w14:textId="77777777" w:rsidR="00F872C6" w:rsidRPr="00F872C6" w:rsidRDefault="00F872C6" w:rsidP="00F872C6">
      <w:pPr>
        <w:spacing w:line="360" w:lineRule="auto"/>
        <w:rPr>
          <w:rFonts w:ascii="Roboto" w:hAnsi="Roboto"/>
          <w:lang w:val="de-AT"/>
        </w:rPr>
      </w:pPr>
    </w:p>
    <w:p w14:paraId="7A9ED525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  <w:sz w:val="36"/>
        </w:rPr>
      </w:pPr>
      <w:r>
        <w:rPr>
          <w:rFonts w:ascii="Roboto" w:hAnsi="Roboto"/>
          <w:b/>
          <w:sz w:val="36"/>
        </w:rPr>
        <w:t>Technológiai mérföldkő a hőszigetelő üveg gyártásában: a Chongzheng Shengda Glass a LiSEC első 8 × 3,3 méteres TPA-sorát választotta</w:t>
      </w:r>
    </w:p>
    <w:p w14:paraId="70B0529B" w14:textId="2A4CB726" w:rsidR="00F872C6" w:rsidRPr="00F872C6" w:rsidRDefault="00F872C6" w:rsidP="00526E68">
      <w:pPr>
        <w:spacing w:after="160" w:line="360" w:lineRule="auto"/>
        <w:rPr>
          <w:rFonts w:ascii="Roboto" w:eastAsiaTheme="minorHAnsi" w:hAnsi="Roboto"/>
          <w:i/>
        </w:rPr>
      </w:pPr>
      <w:r>
        <w:rPr>
          <w:rFonts w:ascii="Roboto" w:hAnsi="Roboto"/>
          <w:i/>
        </w:rPr>
        <w:t>A Chongzheng Shengda Glass Co., Ltd. jelentős lépést tett gyártási technológiájának továbbfejlesztése felé azáltal, hogy a világon elsőként telepítette a LiSEC 8 × 3,3 méteres, hőre lágyuló távtartókat (TPA) alkalmazó hőszigetelő üveg sorát. A projekt nemcsak a nagy méretű TPA hőszigetelő üvegek gyártásának első példáját jelenti, hanem a két vállalatnak az innovatív, hatékony és fenntartható gyártási megoldások megvalósításában vállalt technológiai vezető szerepét is hangsúlyozza.</w:t>
      </w:r>
    </w:p>
    <w:p w14:paraId="2C0850F6" w14:textId="77777777" w:rsidR="00F872C6" w:rsidRDefault="00F872C6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</w:rPr>
        <w:t>Élen a kutatásban, a pontosságban és a fenntarthatóságban</w:t>
      </w:r>
    </w:p>
    <w:p w14:paraId="43272AF4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</w:rPr>
        <w:t>A Chongzheng Shengda Glass, amely a Shandong Chongzheng vállalatcsoport tagja, az energiahatékony funkcionális üvegek egyik vezető gyártója Kínában. A vállalat Zibóban, egy high-tech ipari parkban üzemelteti legmodernebb gyártóberendezéseit. Kiváló minőségű 4SG és Low-E üvegtermékek építészeti, homlokzati és magasépítési célokra történő gyártására specializálódtak. A LiSEC 8 × 3,3 méteres TPA-sorának választásával a vállalat folytatja azon következetes stratégiáját, amely a technológiát használja a minőség és a fenntarthatóság előmozdítására.</w:t>
      </w:r>
    </w:p>
    <w:p w14:paraId="24A69D75" w14:textId="7F3B67D4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</w:rPr>
        <w:t>Miért a TPA: folyamatbiztonság és hatékonyság kompromisszumok nélkül</w:t>
      </w:r>
    </w:p>
    <w:p w14:paraId="26F34FEC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</w:rPr>
        <w:t>A LiSEC TPA-rendszer (Thermoplastic Spacer Application) egy olyan eljárással váltja fel a hagyományos keretgyártást, amelynek során a hőre lágyuló távtartóanyag teljesen automatikusan, közvetlenül kerül felhordásra az üvegtáblára. Az anyag egy dobból kerül bevezetésre, megtörténik a hevítése és precíz felhordása, végül a sarkoknál egy kompressziós rendszer végzi el a hermetikus lezárását.</w:t>
      </w:r>
    </w:p>
    <w:p w14:paraId="473068FC" w14:textId="6794BEF6" w:rsidR="00F872C6" w:rsidRPr="00F872C6" w:rsidRDefault="006E3250" w:rsidP="006E3250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</w:rPr>
        <w:lastRenderedPageBreak/>
        <w:t>A TPA-technológia döntő fontosságú előnyei:</w:t>
      </w:r>
    </w:p>
    <w:p w14:paraId="27386A1C" w14:textId="705868F6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  <w:b/>
        </w:rPr>
        <w:t>Zökkenőmentes gyártási folyamat:</w:t>
      </w:r>
      <w:r>
        <w:rPr>
          <w:rFonts w:ascii="Roboto" w:hAnsi="Roboto"/>
        </w:rPr>
        <w:t xml:space="preserve"> Nincs szükség a keretek hajlítására vagy szerelésére – ennek köszönhetően rövidebbek az ütemidők és kisebb a hiba kockázata.</w:t>
      </w:r>
    </w:p>
    <w:p w14:paraId="3A4B707D" w14:textId="7FF91D8E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  <w:b/>
        </w:rPr>
        <w:t>A legnagyobb fokú precizitás:</w:t>
      </w:r>
      <w:r>
        <w:rPr>
          <w:rFonts w:ascii="Roboto" w:hAnsi="Roboto"/>
        </w:rPr>
        <w:t xml:space="preserve"> Automatikus élzárás látható illesztési helyek vagy magasságbeli eltérések nélkül.</w:t>
      </w:r>
    </w:p>
    <w:p w14:paraId="7B274DB6" w14:textId="7595FCA5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  <w:b/>
        </w:rPr>
        <w:t>Maximális rugalmasság:</w:t>
      </w:r>
      <w:r>
        <w:rPr>
          <w:rFonts w:ascii="Roboto" w:hAnsi="Roboto"/>
        </w:rPr>
        <w:t xml:space="preserve"> Fokozatmentes váltás a különböző üvegméretek és távtartószélességek között, átszerelési idők nélkül.</w:t>
      </w:r>
    </w:p>
    <w:p w14:paraId="2DDD4B4F" w14:textId="5DF2838F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  <w:b/>
        </w:rPr>
        <w:t>Tartós tömítettség:</w:t>
      </w:r>
      <w:r>
        <w:rPr>
          <w:rFonts w:ascii="Roboto" w:hAnsi="Roboto"/>
        </w:rPr>
        <w:t xml:space="preserve"> Az üveg, a TPA-anyag és a tömítőanyag közötti kémiailag stabil kötés a hőszigetelő üvegelem rendkívül hosszú élettartamáról gondoskodik.</w:t>
      </w:r>
    </w:p>
    <w:p w14:paraId="1D9EE9D9" w14:textId="7D6AD9B5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  <w:b/>
        </w:rPr>
        <w:t>Energiahatékonyság:</w:t>
      </w:r>
      <w:r>
        <w:rPr>
          <w:rFonts w:ascii="Roboto" w:hAnsi="Roboto"/>
        </w:rPr>
        <w:t xml:space="preserve"> Csökkentett anyagfelhasználás, optimalizált szárítási ciklusok és a hagyományos gyártási módszerekhez képest akár 30%-kal alacsonyabb energiafogyasztás.</w:t>
      </w:r>
    </w:p>
    <w:p w14:paraId="1B86128A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</w:rPr>
        <w:t>A projekt megvalósítása: tapasztalaton alapuló bizalom</w:t>
      </w:r>
    </w:p>
    <w:p w14:paraId="6FF95430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</w:rPr>
        <w:t>A Chongzheng Shengda Glass és a LiSEC közötti partnerkapcsolat az 1998-as évig nyúlik vissza. Már az első LiSEC hőszigetelő üveg sor és méretre vágó berendezés is több mint két évtizeden keresztül bizonyította alkalmasságát. A minőségbe, a projektmenedzsmentbe és a műszaki kompetenciába vetett bizalom tehát döntő fontosságú volt az új, 8 × 3,3 méteres TPA-sor megvalósításában – egy olyan berendezésében, amely méreteit tekintve egyedülálló a világon.</w:t>
      </w:r>
    </w:p>
    <w:p w14:paraId="16CDDCCE" w14:textId="52682708" w:rsidR="00F872C6" w:rsidRPr="00F872C6" w:rsidRDefault="00F872C6" w:rsidP="00F872C6">
      <w:p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</w:rPr>
        <w:t xml:space="preserve">„Tudtuk, hogy a LiSEC-kel nem csak gépeket vásárolunk, hanem az ipar egyik úttörőjének tapasztalatát is. Egy ilyen nagyságrendű projekt esetében ez döntő jelentőséggel bír” – magyarázza </w:t>
      </w:r>
      <w:bookmarkStart w:id="0" w:name="OLE_LINK1"/>
      <w:r w:rsidRPr="00882279">
        <w:rPr>
          <w:rFonts w:ascii="Roboto" w:hAnsi="Roboto"/>
        </w:rPr>
        <w:t>Song Xunwu, a Chongzheng Shengda elnöke</w:t>
      </w:r>
      <w:bookmarkEnd w:id="0"/>
      <w:r>
        <w:rPr>
          <w:rFonts w:ascii="Roboto" w:hAnsi="Roboto"/>
        </w:rPr>
        <w:t>.</w:t>
      </w:r>
    </w:p>
    <w:p w14:paraId="778A0189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</w:rPr>
        <w:t>Eredmények: a pontosság és a hatékonyság mércéje</w:t>
      </w:r>
    </w:p>
    <w:p w14:paraId="6B5A0F08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</w:rPr>
        <w:t>Az új sor üzembe helyezésével a Chongzheng Shengda a következőket érte el:</w:t>
      </w:r>
    </w:p>
    <w:p w14:paraId="78FF9E3D" w14:textId="25FDDEDD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  <w:b/>
        </w:rPr>
        <w:lastRenderedPageBreak/>
        <w:t>30%-kal alacsonyabb energiafogyasztás</w:t>
      </w:r>
      <w:r>
        <w:rPr>
          <w:rFonts w:ascii="Roboto" w:hAnsi="Roboto"/>
        </w:rPr>
        <w:t xml:space="preserve"> az intelligens vezérlésnek és a folyamatoptimalizálásnak köszönhetően,</w:t>
      </w:r>
    </w:p>
    <w:p w14:paraId="5438F627" w14:textId="14536109" w:rsidR="00F872C6" w:rsidRPr="00F872C6" w:rsidRDefault="00F872C6" w:rsidP="00F872C6">
      <w:pPr>
        <w:pStyle w:val="Listenabsatz"/>
        <w:numPr>
          <w:ilvl w:val="0"/>
          <w:numId w:val="11"/>
        </w:num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  <w:b/>
        </w:rPr>
        <w:t>A hatékonyság növelése</w:t>
      </w:r>
      <w:r>
        <w:rPr>
          <w:rFonts w:ascii="Roboto" w:hAnsi="Roboto"/>
        </w:rPr>
        <w:t xml:space="preserve"> a folyamatok és csomagolási eljárások átszervezésével.</w:t>
      </w:r>
    </w:p>
    <w:p w14:paraId="544CD74A" w14:textId="206CC6ED" w:rsidR="00F872C6" w:rsidRPr="00F872C6" w:rsidRDefault="00F872C6" w:rsidP="00F872C6">
      <w:p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</w:rPr>
        <w:t xml:space="preserve">A piac reakciója igazolja a sikert: az új sorról szóló sajtóközlemény több mint 26 000 megtekintést ért el – ez egyértelműen jelzi ezen úttörő technológiai teljesítmény hírértékét. „Ez a gyártósor mérföldkő az üvegipar számára” – magyarázza </w:t>
      </w:r>
      <w:r w:rsidRPr="00882279">
        <w:rPr>
          <w:rFonts w:ascii="Roboto" w:hAnsi="Roboto"/>
        </w:rPr>
        <w:t>Song Xunwu, a Chongzheng Shengda elnöke</w:t>
      </w:r>
      <w:r>
        <w:rPr>
          <w:rFonts w:ascii="Roboto" w:hAnsi="Roboto"/>
        </w:rPr>
        <w:t>. „Megmutatja, hogy mi minden lehetséges akkor, ha egyesítjük a technológiát, a partneri viszonyt és az innovációt.”</w:t>
      </w:r>
    </w:p>
    <w:p w14:paraId="5636D69C" w14:textId="77777777" w:rsidR="00F872C6" w:rsidRPr="00F872C6" w:rsidRDefault="00F872C6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</w:rPr>
        <w:t>Partneri viszony mint az innováció motorja</w:t>
      </w:r>
    </w:p>
    <w:p w14:paraId="1EC19C56" w14:textId="607B2BC2" w:rsidR="00F872C6" w:rsidRDefault="00F872C6" w:rsidP="00F872C6">
      <w:p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</w:rPr>
        <w:t xml:space="preserve">A LiSEC és a Chongzheng Shengda közötti együttműködés jóval többet jelent a gépvásárlásnál. A két vállalat közösen dolgoz ki új megközelítéseket, bővítményeket tesztelnek, és közvetlenül a gyakorlatban optimalizálják a funkciókat. „Együttműködésünk a nyílt visszajelzéseken, a technológiai szakértelmen és a kölcsönös bizalmon alapul” – hangsúlyozza </w:t>
      </w:r>
      <w:r w:rsidRPr="00882279">
        <w:rPr>
          <w:rFonts w:ascii="Roboto" w:hAnsi="Roboto"/>
        </w:rPr>
        <w:t>Song Xunwu</w:t>
      </w:r>
      <w:r>
        <w:rPr>
          <w:rFonts w:ascii="Roboto" w:hAnsi="Roboto"/>
        </w:rPr>
        <w:t>.  „Ez az alapja annak, hogy közösen újradefiniáljuk az üvegipar alapelveit.”</w:t>
      </w:r>
    </w:p>
    <w:p w14:paraId="75A2585E" w14:textId="4A6CF936" w:rsidR="00526E68" w:rsidRPr="00737562" w:rsidRDefault="00526E68" w:rsidP="00F872C6">
      <w:pPr>
        <w:spacing w:after="160" w:line="360" w:lineRule="auto"/>
        <w:rPr>
          <w:rFonts w:ascii="Roboto" w:eastAsiaTheme="minorHAnsi" w:hAnsi="Roboto"/>
        </w:rPr>
      </w:pPr>
    </w:p>
    <w:p w14:paraId="696B3C12" w14:textId="430B0974" w:rsidR="00526E68" w:rsidRDefault="00526E68" w:rsidP="00F872C6">
      <w:pPr>
        <w:spacing w:after="160" w:line="360" w:lineRule="auto"/>
        <w:rPr>
          <w:rFonts w:ascii="Roboto" w:eastAsiaTheme="minorHAnsi" w:hAnsi="Roboto"/>
          <w:b/>
        </w:rPr>
      </w:pPr>
      <w:r w:rsidRPr="00882279">
        <w:rPr>
          <w:rFonts w:ascii="Roboto" w:hAnsi="Roboto"/>
          <w:b/>
        </w:rPr>
        <w:t>Fényképek</w:t>
      </w:r>
      <w:r>
        <w:rPr>
          <w:rFonts w:ascii="Roboto" w:hAnsi="Roboto"/>
          <w:b/>
        </w:rPr>
        <w:t xml:space="preserve"> </w:t>
      </w:r>
      <w:r>
        <w:rPr>
          <w:rFonts w:ascii="Roboto" w:hAnsi="Roboto"/>
        </w:rPr>
        <w:t>© LiSEC</w:t>
      </w:r>
    </w:p>
    <w:p w14:paraId="5BEEFFCC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52349EBC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6E4C3822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4618F90E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6A00297D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18D2CFBB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  <w:lang w:val="de-DE"/>
        </w:rPr>
      </w:pPr>
    </w:p>
    <w:p w14:paraId="2BD267B4" w14:textId="11F8857A" w:rsidR="00122014" w:rsidRDefault="00122014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  <w:noProof/>
        </w:rPr>
        <w:lastRenderedPageBreak/>
        <w:drawing>
          <wp:inline distT="0" distB="0" distL="0" distR="0" wp14:anchorId="697E71C2" wp14:editId="31C338D4">
            <wp:extent cx="2962800" cy="3952800"/>
            <wp:effectExtent l="0" t="0" r="9525" b="0"/>
            <wp:docPr id="137372298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800" cy="39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E8F6F" w14:textId="1796F01D" w:rsidR="00122014" w:rsidRDefault="00EA0E53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</w:rPr>
        <w:t>© LiSEC; Song Xunwu vezérigazgató</w:t>
      </w:r>
    </w:p>
    <w:p w14:paraId="216C35C0" w14:textId="77777777" w:rsidR="00122014" w:rsidRDefault="00122014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  <w:noProof/>
        </w:rPr>
        <w:drawing>
          <wp:inline distT="0" distB="0" distL="0" distR="0" wp14:anchorId="2E8E59E3" wp14:editId="6DE109E7">
            <wp:extent cx="2943225" cy="1960444"/>
            <wp:effectExtent l="0" t="0" r="0" b="1905"/>
            <wp:docPr id="25322701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735" cy="196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D9A4F" w14:textId="6C7D1DDE" w:rsidR="00122014" w:rsidRPr="00122014" w:rsidRDefault="00EA0E53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</w:rPr>
        <w:t xml:space="preserve"> </w:t>
      </w:r>
      <w:r>
        <w:rPr>
          <w:rFonts w:ascii="Roboto" w:hAnsi="Roboto"/>
        </w:rPr>
        <w:t>© LiSEC; A 8 × 3,3 méteres TPA-sor üzembe helyezése</w:t>
      </w:r>
    </w:p>
    <w:p w14:paraId="6F2FDDF8" w14:textId="4F56B847" w:rsidR="005867AD" w:rsidRPr="00122014" w:rsidRDefault="00122014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  <w:noProof/>
        </w:rPr>
        <w:lastRenderedPageBreak/>
        <w:drawing>
          <wp:inline distT="0" distB="0" distL="0" distR="0" wp14:anchorId="7036A6F1" wp14:editId="5C055749">
            <wp:extent cx="2971801" cy="1981200"/>
            <wp:effectExtent l="0" t="0" r="0" b="0"/>
            <wp:docPr id="976710891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983" cy="198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3766E" w14:textId="0884953D" w:rsidR="00526E68" w:rsidRDefault="00EA0E53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</w:rPr>
        <w:t>© LiSEC; balról jobbra: Song Xunwu (Chongzheng Shengda Glass), Chi Qiao és Markus Jandl</w:t>
      </w:r>
      <w:r>
        <w:rPr>
          <w:rFonts w:ascii="Roboto" w:hAnsi="Roboto"/>
          <w:b/>
        </w:rPr>
        <w:t xml:space="preserve"> </w:t>
      </w:r>
    </w:p>
    <w:p w14:paraId="22C5FE1E" w14:textId="19625A21" w:rsidR="00EA0E53" w:rsidRDefault="00EA0E53" w:rsidP="00F872C6">
      <w:pPr>
        <w:spacing w:after="160" w:line="360" w:lineRule="auto"/>
        <w:rPr>
          <w:rFonts w:ascii="Roboto" w:eastAsiaTheme="minorHAnsi" w:hAnsi="Roboto"/>
          <w:b/>
        </w:rPr>
      </w:pPr>
      <w:r>
        <w:rPr>
          <w:rFonts w:ascii="Roboto" w:hAnsi="Roboto"/>
          <w:b/>
          <w:noProof/>
        </w:rPr>
        <w:drawing>
          <wp:inline distT="0" distB="0" distL="0" distR="0" wp14:anchorId="7B01DACD" wp14:editId="3A11546B">
            <wp:extent cx="2974386" cy="1981200"/>
            <wp:effectExtent l="0" t="0" r="0" b="0"/>
            <wp:docPr id="54808628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204" cy="198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5CBF2C" w14:textId="04B711C3" w:rsidR="008D635C" w:rsidRPr="00EA0E53" w:rsidRDefault="00EA0E53" w:rsidP="00F872C6">
      <w:pPr>
        <w:spacing w:after="160" w:line="360" w:lineRule="auto"/>
        <w:rPr>
          <w:rFonts w:ascii="Roboto" w:eastAsiaTheme="minorHAnsi" w:hAnsi="Roboto"/>
        </w:rPr>
      </w:pPr>
      <w:r>
        <w:rPr>
          <w:rFonts w:ascii="Roboto" w:hAnsi="Roboto"/>
        </w:rPr>
        <w:t>© LiSEC; Gao úr (LiSEC), Song úr (a Chongzheng Shengda Glass elnöke), Wang úr (a Chongzheng vállalatcsoport vezérigazgatója), Qiao úr (LiSEC), Jandl úr (LiSEC) és Leichtfried úr (LiSEC) a gyártott TPA-egységek minőségét és teljesítményét vitatja meg</w:t>
      </w:r>
    </w:p>
    <w:p w14:paraId="01100AAF" w14:textId="444F82A1" w:rsidR="004412F7" w:rsidRPr="00EA0E53" w:rsidRDefault="004412F7" w:rsidP="00F872C6">
      <w:pPr>
        <w:widowControl w:val="0"/>
        <w:spacing w:after="0" w:line="360" w:lineRule="auto"/>
        <w:jc w:val="both"/>
        <w:rPr>
          <w:rFonts w:ascii="Roboto" w:eastAsiaTheme="minorHAnsi" w:hAnsi="Roboto"/>
          <w:kern w:val="2"/>
          <w:sz w:val="20"/>
          <w14:ligatures w14:val="standardContextual"/>
        </w:rPr>
      </w:pPr>
    </w:p>
    <w:p w14:paraId="24275688" w14:textId="77777777" w:rsidR="00F872C6" w:rsidRPr="008D635C" w:rsidRDefault="00F872C6" w:rsidP="00F872C6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142F6B76" w14:textId="77777777" w:rsidR="00F872C6" w:rsidRPr="00F872C6" w:rsidRDefault="00F872C6" w:rsidP="00F872C6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 xml:space="preserve">A Seitenstetten/Amstetten székhelyű LiSEC a világ számos országában működő vállalatcsoport, amely több mint 60 éve kínál egyedi és átfogó megoldásokat a síküveg-megmunkálás és -nemesítés területén. 2024-ban a csoport több mint 25 telephelyen kb. 1300 munkatársat foglalkoztatott, és forgalma 95 százalékot meghaladó exporthányad mellett majdnem 300 millió eurót tett ki. A LiSEC neve a síküveg-megmunkálás teljes értékteremtési láncában egyet jelent a kiváló minőségű gépekkel és berendezésekkel, valamint a szoftvert is tartalmazó, integrált komplett megoldásokkal. A termékportfólióban üveg méretre vágásához, üvegélek és üvegfelületek megmunkálásához, hőszigetelő és többrétegű üvegek gyártásához használható </w:t>
      </w:r>
      <w:r>
        <w:rPr>
          <w:rFonts w:ascii="Roboto" w:hAnsi="Roboto"/>
          <w:sz w:val="20"/>
        </w:rPr>
        <w:lastRenderedPageBreak/>
        <w:t>önálló gépek és komplett gyártósorok, valamint a mögöttük álló intra- és extralogisztika is megtalálható. Az ügyfelek számára előnyös, hogy egy olyan teljes körű szolgáltatóval dolgozhatnak együtt, amely a nagy projektek megvalósítására vonatkozó gazdag tapasztalattal, valamint globális szervizhálózattal rendelkezik.</w:t>
      </w:r>
    </w:p>
    <w:p w14:paraId="7A3A4F5A" w14:textId="77777777" w:rsidR="00F872C6" w:rsidRPr="00737562" w:rsidRDefault="00F872C6" w:rsidP="00F872C6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2A032675" w14:textId="77777777" w:rsidR="00F872C6" w:rsidRPr="00F872C6" w:rsidRDefault="00F872C6" w:rsidP="00F872C6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55E72C98" w14:textId="77777777" w:rsidR="00F872C6" w:rsidRPr="00F872C6" w:rsidRDefault="00F872C6" w:rsidP="00F872C6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 és vállalati kommunikációs igazgató</w:t>
      </w:r>
    </w:p>
    <w:p w14:paraId="20A6B81C" w14:textId="77777777" w:rsidR="00F872C6" w:rsidRPr="00737562" w:rsidRDefault="00F872C6" w:rsidP="00F872C6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36F1CB6F" w14:textId="4CE7F909" w:rsidR="00F872C6" w:rsidRPr="00F872C6" w:rsidRDefault="00F872C6" w:rsidP="00F872C6">
      <w:pPr>
        <w:spacing w:after="0" w:line="240" w:lineRule="auto"/>
        <w:rPr>
          <w:rFonts w:ascii="Roboto" w:hAnsi="Roboto" w:cs="Arial"/>
        </w:rPr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</w:t>
      </w:r>
      <w:r w:rsidR="00882279">
        <w:rPr>
          <w:rFonts w:ascii="Roboto" w:hAnsi="Roboto"/>
          <w:sz w:val="20"/>
        </w:rPr>
        <w:t>asse</w:t>
      </w:r>
      <w:r>
        <w:rPr>
          <w:rFonts w:ascii="Roboto" w:hAnsi="Roboto"/>
          <w:sz w:val="20"/>
        </w:rPr>
        <w:t xml:space="preserve"> 1 – 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2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13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7516432D" w14:textId="77777777" w:rsidR="00F872C6" w:rsidRPr="00F872C6" w:rsidRDefault="00F872C6" w:rsidP="00F872C6">
      <w:pPr>
        <w:rPr>
          <w:lang w:val="de-AT"/>
        </w:rPr>
      </w:pPr>
    </w:p>
    <w:p w14:paraId="41458C62" w14:textId="77777777" w:rsidR="00F872C6" w:rsidRPr="00F872C6" w:rsidRDefault="00F872C6" w:rsidP="00F872C6">
      <w:pPr>
        <w:widowControl w:val="0"/>
        <w:spacing w:after="0" w:line="360" w:lineRule="auto"/>
        <w:jc w:val="both"/>
        <w:rPr>
          <w:rFonts w:ascii="Roboto" w:eastAsiaTheme="minorHAnsi" w:hAnsi="Roboto"/>
          <w:kern w:val="2"/>
          <w:sz w:val="20"/>
          <w:lang w:val="de-DE"/>
          <w14:ligatures w14:val="standardContextual"/>
        </w:rPr>
      </w:pPr>
    </w:p>
    <w:sectPr w:rsidR="00F872C6" w:rsidRPr="00F872C6" w:rsidSect="00034616">
      <w:headerReference w:type="default" r:id="rId14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6F51B5" w14:textId="77777777" w:rsidR="00F27107" w:rsidRDefault="00F27107" w:rsidP="00F872C6">
      <w:pPr>
        <w:spacing w:after="0" w:line="240" w:lineRule="auto"/>
      </w:pPr>
      <w:r>
        <w:separator/>
      </w:r>
    </w:p>
  </w:endnote>
  <w:endnote w:type="continuationSeparator" w:id="0">
    <w:p w14:paraId="41A7064D" w14:textId="77777777" w:rsidR="00F27107" w:rsidRDefault="00F27107" w:rsidP="00F872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828A2E" w14:textId="77777777" w:rsidR="00F27107" w:rsidRDefault="00F27107" w:rsidP="00F872C6">
      <w:pPr>
        <w:spacing w:after="0" w:line="240" w:lineRule="auto"/>
      </w:pPr>
      <w:r>
        <w:separator/>
      </w:r>
    </w:p>
  </w:footnote>
  <w:footnote w:type="continuationSeparator" w:id="0">
    <w:p w14:paraId="69834BA6" w14:textId="77777777" w:rsidR="00F27107" w:rsidRDefault="00F27107" w:rsidP="00F872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B63699" w14:textId="77777777" w:rsidR="00F872C6" w:rsidRPr="001B34E2" w:rsidRDefault="00F872C6" w:rsidP="00F872C6">
    <w:pPr>
      <w:pStyle w:val="Kopfzeile"/>
      <w:rPr>
        <w:rFonts w:ascii="Roboto" w:hAnsi="Roboto"/>
        <w:b/>
        <w:sz w:val="17"/>
        <w:szCs w:val="17"/>
      </w:rPr>
    </w:pPr>
  </w:p>
  <w:p w14:paraId="3D596678" w14:textId="77777777" w:rsidR="00F872C6" w:rsidRPr="001B34E2" w:rsidRDefault="00F872C6" w:rsidP="00F872C6">
    <w:pPr>
      <w:pStyle w:val="Kopfzeile"/>
      <w:rPr>
        <w:rFonts w:ascii="Roboto" w:hAnsi="Roboto"/>
        <w:b/>
        <w:sz w:val="17"/>
        <w:szCs w:val="17"/>
      </w:rPr>
    </w:pPr>
  </w:p>
  <w:p w14:paraId="29BCF019" w14:textId="77777777" w:rsidR="00F872C6" w:rsidRPr="001B34E2" w:rsidRDefault="00F872C6" w:rsidP="00F872C6">
    <w:pPr>
      <w:pStyle w:val="Kopfzeile"/>
      <w:rPr>
        <w:rFonts w:ascii="Roboto" w:hAnsi="Roboto"/>
        <w:b/>
        <w:sz w:val="16"/>
        <w:szCs w:val="16"/>
      </w:rPr>
    </w:pPr>
  </w:p>
  <w:p w14:paraId="5053B524" w14:textId="77777777" w:rsidR="00F872C6" w:rsidRPr="001B34E2" w:rsidRDefault="00F872C6" w:rsidP="00F872C6">
    <w:pPr>
      <w:pStyle w:val="Kopfzeile"/>
      <w:rPr>
        <w:rFonts w:ascii="Roboto" w:hAnsi="Roboto"/>
        <w:b/>
      </w:rPr>
    </w:pPr>
  </w:p>
  <w:p w14:paraId="3658F98D" w14:textId="77777777" w:rsidR="00F872C6" w:rsidRPr="001B34E2" w:rsidRDefault="00F872C6" w:rsidP="00F872C6">
    <w:pPr>
      <w:pStyle w:val="Kopfzeile"/>
      <w:rPr>
        <w:rFonts w:ascii="Roboto" w:hAnsi="Roboto"/>
        <w:b/>
      </w:rPr>
    </w:pPr>
  </w:p>
  <w:p w14:paraId="0E6A570A" w14:textId="77777777" w:rsidR="00F872C6" w:rsidRPr="006C55E8" w:rsidRDefault="00F872C6" w:rsidP="00F872C6">
    <w:pPr>
      <w:pStyle w:val="Kopfzeile"/>
      <w:rPr>
        <w:rFonts w:ascii="Arial" w:hAnsi="Arial" w:cs="Arial"/>
        <w:b/>
      </w:rPr>
    </w:pPr>
    <w:bookmarkStart w:id="1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1C773E85" wp14:editId="25A62911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2099D2AE" w14:textId="77777777" w:rsidR="00F872C6" w:rsidRPr="001B34E2" w:rsidRDefault="00F872C6" w:rsidP="00F872C6">
    <w:pPr>
      <w:pStyle w:val="Kopfzeile"/>
      <w:rPr>
        <w:rFonts w:ascii="Roboto" w:hAnsi="Roboto"/>
        <w:lang w:val="it-IT"/>
      </w:rPr>
    </w:pPr>
  </w:p>
  <w:bookmarkEnd w:id="1"/>
  <w:p w14:paraId="08DD09CF" w14:textId="77777777" w:rsidR="00F872C6" w:rsidRDefault="00F872C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ennumm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ennumm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Aufzhlungszeichen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Aufzhlungszeichen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2F0466A7"/>
    <w:multiLevelType w:val="hybridMultilevel"/>
    <w:tmpl w:val="CDC0BB66"/>
    <w:lvl w:ilvl="0" w:tplc="AE8253B0">
      <w:numFmt w:val="bullet"/>
      <w:lvlText w:val="-"/>
      <w:lvlJc w:val="left"/>
      <w:pPr>
        <w:ind w:left="720" w:hanging="360"/>
      </w:pPr>
      <w:rPr>
        <w:rFonts w:ascii="Roboto" w:eastAsiaTheme="minorHAnsi" w:hAnsi="Roboto" w:cstheme="minorBid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433F52"/>
    <w:multiLevelType w:val="hybridMultilevel"/>
    <w:tmpl w:val="DF8CB60E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297B16"/>
    <w:multiLevelType w:val="hybridMultilevel"/>
    <w:tmpl w:val="E8DCEE9C"/>
    <w:lvl w:ilvl="0" w:tplc="AE8253B0">
      <w:numFmt w:val="bullet"/>
      <w:lvlText w:val="-"/>
      <w:lvlJc w:val="left"/>
      <w:pPr>
        <w:ind w:left="720" w:hanging="360"/>
      </w:pPr>
      <w:rPr>
        <w:rFonts w:ascii="Roboto" w:eastAsiaTheme="minorHAnsi" w:hAnsi="Roboto" w:cstheme="minorBid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5644015">
    <w:abstractNumId w:val="8"/>
  </w:num>
  <w:num w:numId="2" w16cid:durableId="1676104727">
    <w:abstractNumId w:val="6"/>
  </w:num>
  <w:num w:numId="3" w16cid:durableId="710347031">
    <w:abstractNumId w:val="5"/>
  </w:num>
  <w:num w:numId="4" w16cid:durableId="359667246">
    <w:abstractNumId w:val="4"/>
  </w:num>
  <w:num w:numId="5" w16cid:durableId="1182206322">
    <w:abstractNumId w:val="7"/>
  </w:num>
  <w:num w:numId="6" w16cid:durableId="1966543517">
    <w:abstractNumId w:val="3"/>
  </w:num>
  <w:num w:numId="7" w16cid:durableId="203911288">
    <w:abstractNumId w:val="2"/>
  </w:num>
  <w:num w:numId="8" w16cid:durableId="1507136071">
    <w:abstractNumId w:val="1"/>
  </w:num>
  <w:num w:numId="9" w16cid:durableId="1037779579">
    <w:abstractNumId w:val="0"/>
  </w:num>
  <w:num w:numId="10" w16cid:durableId="1530411000">
    <w:abstractNumId w:val="10"/>
  </w:num>
  <w:num w:numId="11" w16cid:durableId="1306164177">
    <w:abstractNumId w:val="11"/>
  </w:num>
  <w:num w:numId="12" w16cid:durableId="28678844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2620A"/>
    <w:rsid w:val="00034616"/>
    <w:rsid w:val="00034ED8"/>
    <w:rsid w:val="0006063C"/>
    <w:rsid w:val="00122014"/>
    <w:rsid w:val="0015074B"/>
    <w:rsid w:val="0029639D"/>
    <w:rsid w:val="002D55C1"/>
    <w:rsid w:val="00326F90"/>
    <w:rsid w:val="004412F7"/>
    <w:rsid w:val="004D5F45"/>
    <w:rsid w:val="00526E68"/>
    <w:rsid w:val="005867AD"/>
    <w:rsid w:val="005E11FC"/>
    <w:rsid w:val="00602AC4"/>
    <w:rsid w:val="00675C06"/>
    <w:rsid w:val="00686D74"/>
    <w:rsid w:val="006E3250"/>
    <w:rsid w:val="00737562"/>
    <w:rsid w:val="007A44BF"/>
    <w:rsid w:val="007F5F63"/>
    <w:rsid w:val="00882279"/>
    <w:rsid w:val="008D635C"/>
    <w:rsid w:val="00905164"/>
    <w:rsid w:val="00913036"/>
    <w:rsid w:val="00937D7E"/>
    <w:rsid w:val="00976C1D"/>
    <w:rsid w:val="009F3A58"/>
    <w:rsid w:val="00AA1D8D"/>
    <w:rsid w:val="00B47730"/>
    <w:rsid w:val="00CB0664"/>
    <w:rsid w:val="00CB641E"/>
    <w:rsid w:val="00CE6254"/>
    <w:rsid w:val="00D12034"/>
    <w:rsid w:val="00D25969"/>
    <w:rsid w:val="00D41ED6"/>
    <w:rsid w:val="00DA6DDA"/>
    <w:rsid w:val="00EA0E53"/>
    <w:rsid w:val="00F025B2"/>
    <w:rsid w:val="00F268A1"/>
    <w:rsid w:val="00F27107"/>
    <w:rsid w:val="00F872C6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C03DD09"/>
  <w14:defaultImageDpi w14:val="300"/>
  <w15:docId w15:val="{C1FFCE7B-03A5-49A8-AB16-FD396A29D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693F"/>
  </w:style>
  <w:style w:type="paragraph" w:styleId="berschrift1">
    <w:name w:val="heading 1"/>
    <w:basedOn w:val="Standard"/>
    <w:next w:val="Standard"/>
    <w:link w:val="berschrift1Zchn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618BF"/>
  </w:style>
  <w:style w:type="paragraph" w:styleId="Fuzeile">
    <w:name w:val="footer"/>
    <w:basedOn w:val="Standard"/>
    <w:link w:val="FuzeileZchn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618BF"/>
  </w:style>
  <w:style w:type="paragraph" w:styleId="KeinLeerraum">
    <w:name w:val="No Spacing"/>
    <w:uiPriority w:val="1"/>
    <w:qFormat/>
    <w:rsid w:val="00FC693F"/>
    <w:pPr>
      <w:spacing w:after="0" w:line="240" w:lineRule="auto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nabsatz">
    <w:name w:val="List Paragraph"/>
    <w:basedOn w:val="Standard"/>
    <w:uiPriority w:val="34"/>
    <w:qFormat/>
    <w:rsid w:val="00FC693F"/>
    <w:pPr>
      <w:ind w:left="720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AA1D8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AA1D8D"/>
  </w:style>
  <w:style w:type="paragraph" w:styleId="Textkrper2">
    <w:name w:val="Body Text 2"/>
    <w:basedOn w:val="Standard"/>
    <w:link w:val="Textkrper2Zchn"/>
    <w:uiPriority w:val="99"/>
    <w:unhideWhenUsed/>
    <w:rsid w:val="00AA1D8D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rsid w:val="00AA1D8D"/>
  </w:style>
  <w:style w:type="paragraph" w:styleId="Textkrper3">
    <w:name w:val="Body Text 3"/>
    <w:basedOn w:val="Standard"/>
    <w:link w:val="Textkrper3Zchn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rsid w:val="00AA1D8D"/>
    <w:rPr>
      <w:sz w:val="16"/>
      <w:szCs w:val="16"/>
    </w:rPr>
  </w:style>
  <w:style w:type="paragraph" w:styleId="Liste">
    <w:name w:val="List"/>
    <w:basedOn w:val="Standard"/>
    <w:uiPriority w:val="99"/>
    <w:unhideWhenUsed/>
    <w:rsid w:val="00AA1D8D"/>
    <w:pPr>
      <w:ind w:left="360" w:hanging="360"/>
      <w:contextualSpacing/>
    </w:pPr>
  </w:style>
  <w:style w:type="paragraph" w:styleId="Liste2">
    <w:name w:val="List 2"/>
    <w:basedOn w:val="Standard"/>
    <w:uiPriority w:val="99"/>
    <w:unhideWhenUsed/>
    <w:rsid w:val="00326F90"/>
    <w:pPr>
      <w:ind w:left="720" w:hanging="360"/>
      <w:contextualSpacing/>
    </w:pPr>
  </w:style>
  <w:style w:type="paragraph" w:styleId="Liste3">
    <w:name w:val="List 3"/>
    <w:basedOn w:val="Standard"/>
    <w:uiPriority w:val="99"/>
    <w:unhideWhenUsed/>
    <w:rsid w:val="00326F90"/>
    <w:pPr>
      <w:ind w:left="1080" w:hanging="360"/>
      <w:contextualSpacing/>
    </w:pPr>
  </w:style>
  <w:style w:type="paragraph" w:styleId="Aufzhlungszeichen">
    <w:name w:val="List Bullet"/>
    <w:basedOn w:val="Standard"/>
    <w:uiPriority w:val="99"/>
    <w:unhideWhenUsed/>
    <w:rsid w:val="00326F90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unhideWhenUsed/>
    <w:rsid w:val="00326F90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unhideWhenUsed/>
    <w:rsid w:val="00326F90"/>
    <w:pPr>
      <w:numPr>
        <w:numId w:val="3"/>
      </w:numPr>
      <w:contextualSpacing/>
    </w:pPr>
  </w:style>
  <w:style w:type="paragraph" w:styleId="Listennummer">
    <w:name w:val="List Number"/>
    <w:basedOn w:val="Standard"/>
    <w:uiPriority w:val="99"/>
    <w:unhideWhenUsed/>
    <w:rsid w:val="00326F90"/>
    <w:pPr>
      <w:numPr>
        <w:numId w:val="5"/>
      </w:numPr>
      <w:contextualSpacing/>
    </w:pPr>
  </w:style>
  <w:style w:type="paragraph" w:styleId="Listennummer2">
    <w:name w:val="List Number 2"/>
    <w:basedOn w:val="Standard"/>
    <w:uiPriority w:val="99"/>
    <w:unhideWhenUsed/>
    <w:rsid w:val="0029639D"/>
    <w:pPr>
      <w:numPr>
        <w:numId w:val="6"/>
      </w:numPr>
      <w:contextualSpacing/>
    </w:pPr>
  </w:style>
  <w:style w:type="paragraph" w:styleId="Listennummer3">
    <w:name w:val="List Number 3"/>
    <w:basedOn w:val="Standard"/>
    <w:uiPriority w:val="99"/>
    <w:unhideWhenUsed/>
    <w:rsid w:val="0029639D"/>
    <w:pPr>
      <w:numPr>
        <w:numId w:val="7"/>
      </w:numPr>
      <w:contextualSpacing/>
    </w:pPr>
  </w:style>
  <w:style w:type="paragraph" w:styleId="Listenfortsetzung">
    <w:name w:val="List Continue"/>
    <w:basedOn w:val="Standard"/>
    <w:uiPriority w:val="99"/>
    <w:unhideWhenUsed/>
    <w:rsid w:val="0029639D"/>
    <w:pPr>
      <w:spacing w:after="120"/>
      <w:ind w:left="360"/>
      <w:contextualSpacing/>
    </w:pPr>
  </w:style>
  <w:style w:type="paragraph" w:styleId="Listenfortsetzung2">
    <w:name w:val="List Continue 2"/>
    <w:basedOn w:val="Standard"/>
    <w:uiPriority w:val="99"/>
    <w:unhideWhenUsed/>
    <w:rsid w:val="0029639D"/>
    <w:pPr>
      <w:spacing w:after="120"/>
      <w:ind w:left="720"/>
      <w:contextualSpacing/>
    </w:pPr>
  </w:style>
  <w:style w:type="paragraph" w:styleId="Listenfortsetzung3">
    <w:name w:val="List Continue 3"/>
    <w:basedOn w:val="Standard"/>
    <w:uiPriority w:val="99"/>
    <w:unhideWhenUsed/>
    <w:rsid w:val="0029639D"/>
    <w:pPr>
      <w:spacing w:after="120"/>
      <w:ind w:left="1080"/>
      <w:contextualSpacing/>
    </w:pPr>
  </w:style>
  <w:style w:type="paragraph" w:styleId="Makrotext">
    <w:name w:val="macro"/>
    <w:link w:val="MakrotextZchn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rsid w:val="0029639D"/>
    <w:rPr>
      <w:rFonts w:ascii="Courier" w:hAnsi="Courier"/>
      <w:sz w:val="20"/>
      <w:szCs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FC693F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FC693F"/>
    <w:rPr>
      <w:i/>
      <w:iCs/>
      <w:color w:val="000000" w:themeColor="tex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C693F"/>
    <w:rPr>
      <w:b/>
      <w:bCs/>
    </w:rPr>
  </w:style>
  <w:style w:type="character" w:styleId="Hervorhebung">
    <w:name w:val="Emphasis"/>
    <w:basedOn w:val="Absatz-Standardschriftart"/>
    <w:uiPriority w:val="20"/>
    <w:qFormat/>
    <w:rsid w:val="00FC693F"/>
    <w:rPr>
      <w:i/>
      <w:iCs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C693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FC693F"/>
    <w:rPr>
      <w:i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rsid w:val="00FC693F"/>
    <w:rPr>
      <w:b/>
      <w:bCs/>
      <w:i/>
      <w:iCs/>
      <w:color w:val="4F81BD" w:themeColor="accent1"/>
    </w:rPr>
  </w:style>
  <w:style w:type="character" w:styleId="SchwacherVerweis">
    <w:name w:val="Subtle Reference"/>
    <w:basedOn w:val="Absatz-Standardschriftart"/>
    <w:uiPriority w:val="31"/>
    <w:qFormat/>
    <w:rsid w:val="00FC693F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qFormat/>
    <w:rsid w:val="00FC693F"/>
    <w:rPr>
      <w:b/>
      <w:b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FC693F"/>
    <w:pPr>
      <w:outlineLvl w:val="9"/>
    </w:pPr>
  </w:style>
  <w:style w:type="table" w:styleId="Tabellenraster">
    <w:name w:val="Table Grid"/>
    <w:basedOn w:val="NormaleTabelle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HelleListe">
    <w:name w:val="Light List"/>
    <w:basedOn w:val="NormaleTabelle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HelleListe-Akzent1">
    <w:name w:val="Light List Accent 1"/>
    <w:basedOn w:val="NormaleTabelle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HelleListe-Akzent2">
    <w:name w:val="Light List Accent 2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HelleListe-Akzent3">
    <w:name w:val="Light List Accent 3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HelleListe-Akzent4">
    <w:name w:val="Light List Accent 4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HelleListe-Akzent5">
    <w:name w:val="Light List Accent 5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HelleListe-Akzent6">
    <w:name w:val="Light List Accent 6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HellesRaster">
    <w:name w:val="Light Grid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HellesRaster-Akzent1">
    <w:name w:val="Light Grid Accent 1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HellesRaster-Akzent2">
    <w:name w:val="Light Grid Accent 2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HellesRaster-Akzent3">
    <w:name w:val="Light Grid Accent 3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HellesRaster-Akzent4">
    <w:name w:val="Light Grid Accent 4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HellesRaster-Akzent5">
    <w:name w:val="Light Grid Accent 5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HellesRaster-Akzent6">
    <w:name w:val="Light Grid Accent 6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ittlereSchattierung1">
    <w:name w:val="Medium Shading 1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Liste1">
    <w:name w:val="Medium List 1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ittlereListe1-Akzent1">
    <w:name w:val="Medium List 1 Accent 1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ittlereListe2">
    <w:name w:val="Medium List 2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Raster1">
    <w:name w:val="Medium Grid 1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ittleresRaster2">
    <w:name w:val="Medium Grid 2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unkleListe">
    <w:name w:val="Dark List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unkleListe-Akzent1">
    <w:name w:val="Dark List Accent 1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unkleListe-Akzent2">
    <w:name w:val="Dark List Accent 2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unkleListe-Akzent3">
    <w:name w:val="Dark List Accent 3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unkleListe-Akzent4">
    <w:name w:val="Dark List Accent 4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unkleListe-Akzent5">
    <w:name w:val="Dark List Accent 5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unkleListe-Akzent6">
    <w:name w:val="Dark List Accent 6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FarbigeSchattierung">
    <w:name w:val="Colorful Shading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1">
    <w:name w:val="Colorful Shading Accent 1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2">
    <w:name w:val="Colorful Shading Accent 2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3">
    <w:name w:val="Colorful Shading Accent 3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5">
    <w:name w:val="Colorful Shading Accent 5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6">
    <w:name w:val="Colorful Shading Accent 6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Liste">
    <w:name w:val="Colorful List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FarbigeListe-Akzent1">
    <w:name w:val="Colorful List Accent 1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FarbigeListe-Akzent2">
    <w:name w:val="Colorful List Accent 2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FarbigeListe-Akzent3">
    <w:name w:val="Colorful List Accent 3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FarbigeListe-Akzent5">
    <w:name w:val="Colorful List Accent 5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FarbigeListe-Akzent6">
    <w:name w:val="Colorful List Accent 6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FarbigesRaster">
    <w:name w:val="Colorful Grid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FarbigesRaster-Akzent1">
    <w:name w:val="Colorful Grid Accent 1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yperlink">
    <w:name w:val="Hyperlink"/>
    <w:rsid w:val="00F872C6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872C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872C6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872C6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872C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872C6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F872C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lisec.com/?utm_source=Press-Release&amp;utm_medium=Word-PDF&amp;utm_campaign=D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laudia.guschlbauer@lisec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778</Words>
  <Characters>5563</Characters>
  <Application>Microsoft Office Word</Application>
  <DocSecurity>0</DocSecurity>
  <Lines>118</Lines>
  <Paragraphs>39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6302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Mayr Katharina</cp:lastModifiedBy>
  <cp:revision>12</cp:revision>
  <dcterms:created xsi:type="dcterms:W3CDTF">2025-10-07T13:41:00Z</dcterms:created>
  <dcterms:modified xsi:type="dcterms:W3CDTF">2026-01-19T11:50:00Z</dcterms:modified>
  <cp:category/>
</cp:coreProperties>
</file>